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C9AE" w14:textId="77777777" w:rsidR="00806F7F" w:rsidRPr="00BB301F" w:rsidRDefault="00806F7F" w:rsidP="00806F7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806F7F" w:rsidRPr="00BB301F" w14:paraId="0FAD13DC" w14:textId="77777777" w:rsidTr="0045175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14:paraId="4F7CE89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47EB2" w14:textId="0DC9CB03" w:rsidR="00806F7F" w:rsidRPr="00005354" w:rsidRDefault="007C4A48" w:rsidP="004517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00148.</w:t>
            </w:r>
            <w:r w:rsidR="00043E9B">
              <w:rPr>
                <w:rFonts w:ascii="Times New Roman" w:hAnsi="Times New Roman"/>
                <w:b/>
              </w:rPr>
              <w:t>000020/2024-91</w:t>
            </w:r>
          </w:p>
        </w:tc>
      </w:tr>
      <w:tr w:rsidR="00806F7F" w:rsidRPr="00BB301F" w14:paraId="654AA8E7" w14:textId="77777777" w:rsidTr="0045175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14:paraId="7DDFA44D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7AF25D2" w14:textId="77777777" w:rsidR="00806F7F" w:rsidRPr="00465D0B" w:rsidRDefault="00806F7F" w:rsidP="0045175D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BB301F" w14:paraId="16F22C5B" w14:textId="77777777" w:rsidTr="0045175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14:paraId="7C3E87E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1590E" w14:textId="74D15BA9" w:rsidR="00806F7F" w:rsidRPr="00BB301F" w:rsidRDefault="00043E9B" w:rsidP="0045175D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 Anual de contratações – exercício 2024</w:t>
            </w:r>
          </w:p>
        </w:tc>
      </w:tr>
      <w:tr w:rsidR="00806F7F" w:rsidRPr="00BB301F" w14:paraId="7EC3C730" w14:textId="77777777" w:rsidTr="0045175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54626604" w:rsidR="00806F7F" w:rsidRPr="00BB301F" w:rsidRDefault="00806F7F" w:rsidP="0045175D">
            <w:pPr>
              <w:jc w:val="center"/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 xml:space="preserve">DELIBERAÇÃO N° </w:t>
            </w:r>
            <w:r>
              <w:rPr>
                <w:rFonts w:ascii="Times New Roman" w:hAnsi="Times New Roman"/>
              </w:rPr>
              <w:t>00</w:t>
            </w:r>
            <w:r w:rsidR="00636A3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-2024 C</w:t>
            </w:r>
            <w:r w:rsidR="007D67E0">
              <w:rPr>
                <w:rFonts w:ascii="Times New Roman" w:hAnsi="Times New Roman"/>
              </w:rPr>
              <w:t>OPAF</w:t>
            </w:r>
            <w:r w:rsidRPr="00BB301F">
              <w:rPr>
                <w:rFonts w:ascii="Times New Roman" w:hAnsi="Times New Roman"/>
              </w:rPr>
              <w:t>-CAU/AL</w:t>
            </w:r>
          </w:p>
        </w:tc>
      </w:tr>
    </w:tbl>
    <w:p w14:paraId="37BD809D" w14:textId="77777777" w:rsidR="00806F7F" w:rsidRPr="00BB301F" w:rsidRDefault="00806F7F" w:rsidP="00806F7F">
      <w:pPr>
        <w:rPr>
          <w:rFonts w:ascii="Times New Roman" w:hAnsi="Times New Roman"/>
        </w:rPr>
      </w:pPr>
    </w:p>
    <w:p w14:paraId="7BFBCA64" w14:textId="008BBD32" w:rsidR="00806F7F" w:rsidRDefault="00905B5C" w:rsidP="00806F7F">
      <w:pPr>
        <w:jc w:val="both"/>
        <w:rPr>
          <w:rFonts w:ascii="Times New Roman" w:hAnsi="Times New Roman"/>
          <w:bCs/>
        </w:rPr>
      </w:pPr>
      <w:r w:rsidRPr="00905B5C">
        <w:rPr>
          <w:rFonts w:ascii="Times New Roman" w:hAnsi="Times New Roman"/>
          <w:bCs/>
          <w:sz w:val="22"/>
          <w:szCs w:val="22"/>
          <w:shd w:val="clear" w:color="auto" w:fill="FFFFFF"/>
        </w:rPr>
        <w:t>COMISSÃO DE ORGANIZAÇÃO, PLANEJAMENTO, ADMINISTRAÇÃO E FINANÇAS – COPAF-CAU/AL</w:t>
      </w:r>
      <w:r w:rsidR="00806F7F" w:rsidRPr="00E7714A">
        <w:rPr>
          <w:rFonts w:ascii="Times New Roman" w:hAnsi="Times New Roman"/>
          <w:bCs/>
        </w:rPr>
        <w:t xml:space="preserve"> reunida ordinariamente em Maceió-AL, na sede do CAU/AL, no uso das competências que lhe conferem o </w:t>
      </w:r>
      <w:r w:rsidR="00806F7F" w:rsidRPr="00E7714A">
        <w:rPr>
          <w:rFonts w:ascii="Times New Roman" w:eastAsia="Times New Roman" w:hAnsi="Times New Roman"/>
          <w:bCs/>
          <w:lang w:eastAsia="pt-BR"/>
        </w:rPr>
        <w:t xml:space="preserve">Art. </w:t>
      </w:r>
      <w:r w:rsidR="006B7A96">
        <w:rPr>
          <w:rFonts w:ascii="Times New Roman" w:eastAsia="Times New Roman" w:hAnsi="Times New Roman"/>
          <w:bCs/>
          <w:lang w:eastAsia="pt-BR"/>
        </w:rPr>
        <w:t>96</w:t>
      </w:r>
      <w:r w:rsidR="00806F7F" w:rsidRPr="00E7714A">
        <w:rPr>
          <w:rFonts w:ascii="Times New Roman" w:eastAsia="Times New Roman" w:hAnsi="Times New Roman"/>
          <w:bCs/>
          <w:lang w:eastAsia="pt-BR"/>
        </w:rPr>
        <w:t xml:space="preserve"> </w:t>
      </w:r>
      <w:r w:rsidR="00806F7F" w:rsidRPr="00E7714A">
        <w:rPr>
          <w:rFonts w:ascii="Times New Roman" w:hAnsi="Times New Roman"/>
          <w:bCs/>
        </w:rPr>
        <w:t>do regimento Interno do CAU/AL, após análise do assunto em epígrafe;</w:t>
      </w:r>
    </w:p>
    <w:p w14:paraId="54D4F9B6" w14:textId="77777777" w:rsidR="008A6E52" w:rsidRDefault="008A6E52" w:rsidP="00806F7F">
      <w:pPr>
        <w:jc w:val="both"/>
        <w:rPr>
          <w:rFonts w:ascii="Times New Roman" w:hAnsi="Times New Roman"/>
          <w:bCs/>
        </w:rPr>
      </w:pPr>
    </w:p>
    <w:p w14:paraId="28AE52E6" w14:textId="0095C0EB" w:rsidR="008A6E52" w:rsidRDefault="008A6E52" w:rsidP="00806F7F">
      <w:pPr>
        <w:jc w:val="both"/>
        <w:rPr>
          <w:rFonts w:ascii="Times New Roman" w:hAnsi="Times New Roman"/>
          <w:bCs/>
        </w:rPr>
      </w:pPr>
      <w:r w:rsidRPr="008A6E52">
        <w:rPr>
          <w:rFonts w:ascii="Times New Roman" w:hAnsi="Times New Roman"/>
          <w:bCs/>
        </w:rPr>
        <w:t xml:space="preserve">Considerando a necessidade de elaborar plano de trabalho, calendário de atividades e calendário anual </w:t>
      </w:r>
      <w:r w:rsidR="00E172D5">
        <w:rPr>
          <w:rFonts w:ascii="Times New Roman" w:hAnsi="Times New Roman"/>
          <w:bCs/>
        </w:rPr>
        <w:t xml:space="preserve">de contatações do </w:t>
      </w:r>
      <w:r w:rsidRPr="008A6E52">
        <w:rPr>
          <w:rFonts w:ascii="Times New Roman" w:hAnsi="Times New Roman"/>
          <w:bCs/>
        </w:rPr>
        <w:t>CAU</w:t>
      </w:r>
      <w:r w:rsidR="00A95FDC">
        <w:rPr>
          <w:rFonts w:ascii="Times New Roman" w:hAnsi="Times New Roman"/>
          <w:bCs/>
        </w:rPr>
        <w:t>/AL</w:t>
      </w:r>
      <w:r w:rsidRPr="008A6E52">
        <w:rPr>
          <w:rFonts w:ascii="Times New Roman" w:hAnsi="Times New Roman"/>
          <w:bCs/>
        </w:rPr>
        <w:t>.</w:t>
      </w:r>
    </w:p>
    <w:p w14:paraId="5A3B144F" w14:textId="77777777" w:rsidR="001367E3" w:rsidRDefault="001367E3" w:rsidP="00806F7F">
      <w:pPr>
        <w:jc w:val="both"/>
        <w:rPr>
          <w:rFonts w:ascii="Times New Roman" w:hAnsi="Times New Roman"/>
          <w:bCs/>
        </w:rPr>
      </w:pPr>
    </w:p>
    <w:p w14:paraId="0194FA5C" w14:textId="23363947" w:rsidR="001367E3" w:rsidRDefault="001367E3" w:rsidP="00806F7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Considerando a nova Lei de Licitações</w:t>
      </w:r>
      <w:r w:rsidR="001F1397">
        <w:rPr>
          <w:rFonts w:ascii="Times New Roman" w:hAnsi="Times New Roman"/>
          <w:bCs/>
        </w:rPr>
        <w:t xml:space="preserve"> e Contratos</w:t>
      </w:r>
      <w:r w:rsidR="00373550">
        <w:rPr>
          <w:rFonts w:ascii="Times New Roman" w:hAnsi="Times New Roman"/>
          <w:bCs/>
        </w:rPr>
        <w:t xml:space="preserve">, Lei </w:t>
      </w:r>
      <w:r w:rsidR="00E2485E" w:rsidRPr="00E2485E">
        <w:rPr>
          <w:rFonts w:ascii="Times New Roman" w:hAnsi="Times New Roman"/>
          <w:bCs/>
        </w:rPr>
        <w:t>nº 14.133/2021 estabelece normas gerais de licitação e contratação para as Administrações Públicas diretas, autárquicas e fundacionais da União, dos Estados, do Distrito Federal e dos Municípios</w:t>
      </w:r>
      <w:r w:rsidR="00373550">
        <w:rPr>
          <w:rFonts w:ascii="Times New Roman" w:hAnsi="Times New Roman"/>
          <w:bCs/>
        </w:rPr>
        <w:t>;</w:t>
      </w:r>
    </w:p>
    <w:p w14:paraId="4D84FF5F" w14:textId="77777777" w:rsidR="008A6E52" w:rsidRDefault="008A6E52" w:rsidP="00806F7F">
      <w:pPr>
        <w:jc w:val="both"/>
        <w:rPr>
          <w:rFonts w:ascii="Times New Roman" w:hAnsi="Times New Roman"/>
          <w:bCs/>
        </w:rPr>
      </w:pPr>
    </w:p>
    <w:p w14:paraId="0B79AC08" w14:textId="6026F1E5" w:rsidR="008A6E52" w:rsidRPr="00E7714A" w:rsidRDefault="008A6E52" w:rsidP="00806F7F">
      <w:pPr>
        <w:jc w:val="both"/>
        <w:rPr>
          <w:rFonts w:ascii="Times New Roman" w:hAnsi="Times New Roman"/>
          <w:bCs/>
        </w:rPr>
      </w:pPr>
      <w:r w:rsidRPr="008A6E52">
        <w:rPr>
          <w:rFonts w:ascii="Times New Roman" w:hAnsi="Times New Roman"/>
          <w:bCs/>
        </w:rPr>
        <w:t xml:space="preserve">Considerando o </w:t>
      </w:r>
      <w:r w:rsidR="00E172D5">
        <w:rPr>
          <w:rFonts w:ascii="Times New Roman" w:hAnsi="Times New Roman"/>
          <w:bCs/>
        </w:rPr>
        <w:t>P</w:t>
      </w:r>
      <w:r w:rsidRPr="008A6E52">
        <w:rPr>
          <w:rFonts w:ascii="Times New Roman" w:hAnsi="Times New Roman"/>
          <w:bCs/>
        </w:rPr>
        <w:t xml:space="preserve">lano </w:t>
      </w:r>
      <w:r w:rsidR="00E172D5">
        <w:rPr>
          <w:rFonts w:ascii="Times New Roman" w:hAnsi="Times New Roman"/>
          <w:bCs/>
        </w:rPr>
        <w:t>de Ação e Orçamento do CAU/AL para o exercício 2024</w:t>
      </w:r>
      <w:r w:rsidR="00503192">
        <w:rPr>
          <w:rFonts w:ascii="Times New Roman" w:hAnsi="Times New Roman"/>
          <w:bCs/>
        </w:rPr>
        <w:t xml:space="preserve"> aprovado pela Deliberação</w:t>
      </w:r>
      <w:r w:rsidR="000A3B0E">
        <w:rPr>
          <w:rFonts w:ascii="Times New Roman" w:hAnsi="Times New Roman"/>
          <w:bCs/>
        </w:rPr>
        <w:t xml:space="preserve"> Plenária DPOBR n</w:t>
      </w:r>
      <w:r w:rsidR="002E4D2C">
        <w:rPr>
          <w:rFonts w:ascii="Times New Roman" w:hAnsi="Times New Roman"/>
          <w:bCs/>
        </w:rPr>
        <w:t>º 0143</w:t>
      </w:r>
      <w:r w:rsidR="00D93FE9">
        <w:rPr>
          <w:rFonts w:ascii="Times New Roman" w:hAnsi="Times New Roman"/>
          <w:bCs/>
        </w:rPr>
        <w:t>-04</w:t>
      </w:r>
      <w:r w:rsidR="002E4D2C">
        <w:rPr>
          <w:rFonts w:ascii="Times New Roman" w:hAnsi="Times New Roman"/>
          <w:bCs/>
        </w:rPr>
        <w:t>, de 15 de dezembro de 2023</w:t>
      </w:r>
      <w:r w:rsidRPr="008A6E52">
        <w:rPr>
          <w:rFonts w:ascii="Times New Roman" w:hAnsi="Times New Roman"/>
          <w:bCs/>
        </w:rPr>
        <w:t>.</w:t>
      </w:r>
    </w:p>
    <w:p w14:paraId="059069D9" w14:textId="77777777" w:rsidR="00806F7F" w:rsidRPr="00BB301F" w:rsidRDefault="00806F7F" w:rsidP="00806F7F">
      <w:pPr>
        <w:jc w:val="both"/>
        <w:rPr>
          <w:rFonts w:ascii="Times New Roman" w:hAnsi="Times New Roman"/>
        </w:rPr>
      </w:pPr>
    </w:p>
    <w:p w14:paraId="103965B4" w14:textId="77777777" w:rsidR="00806F7F" w:rsidRPr="00BB301F" w:rsidRDefault="00806F7F" w:rsidP="00806F7F">
      <w:pPr>
        <w:pStyle w:val="Corpodetexto2"/>
        <w:rPr>
          <w:b/>
          <w:sz w:val="24"/>
          <w:szCs w:val="24"/>
        </w:rPr>
      </w:pPr>
      <w:r w:rsidRPr="00BB301F">
        <w:rPr>
          <w:b/>
          <w:sz w:val="24"/>
          <w:szCs w:val="24"/>
        </w:rPr>
        <w:t>DELIBERA:</w:t>
      </w:r>
    </w:p>
    <w:p w14:paraId="04FF62E4" w14:textId="77777777" w:rsidR="00806F7F" w:rsidRPr="00BB301F" w:rsidRDefault="00806F7F" w:rsidP="00806F7F">
      <w:pPr>
        <w:pStyle w:val="Corpodetexto2"/>
        <w:rPr>
          <w:sz w:val="24"/>
          <w:szCs w:val="24"/>
        </w:rPr>
      </w:pPr>
    </w:p>
    <w:p w14:paraId="548176A8" w14:textId="3AC6A071" w:rsidR="00806F7F" w:rsidRDefault="00806F7F" w:rsidP="00806F7F">
      <w:pPr>
        <w:pStyle w:val="Corpodetexto2"/>
        <w:rPr>
          <w:sz w:val="24"/>
          <w:szCs w:val="24"/>
        </w:rPr>
      </w:pPr>
      <w:r w:rsidRPr="00BB301F">
        <w:rPr>
          <w:sz w:val="24"/>
          <w:szCs w:val="24"/>
        </w:rPr>
        <w:t>1 –</w:t>
      </w:r>
      <w:r>
        <w:rPr>
          <w:sz w:val="24"/>
          <w:szCs w:val="24"/>
        </w:rPr>
        <w:t xml:space="preserve"> </w:t>
      </w:r>
      <w:r w:rsidRPr="00834E70">
        <w:rPr>
          <w:sz w:val="24"/>
          <w:szCs w:val="24"/>
        </w:rPr>
        <w:t xml:space="preserve">Aprovar o </w:t>
      </w:r>
      <w:r w:rsidR="002E4D2C">
        <w:rPr>
          <w:sz w:val="24"/>
          <w:szCs w:val="24"/>
        </w:rPr>
        <w:t xml:space="preserve">plano de contratações </w:t>
      </w:r>
      <w:r w:rsidR="00656CF3">
        <w:rPr>
          <w:sz w:val="24"/>
          <w:szCs w:val="24"/>
        </w:rPr>
        <w:t xml:space="preserve">para o exercício 2024 do CAU/AL, conforme </w:t>
      </w:r>
      <w:r w:rsidR="00743AC3">
        <w:rPr>
          <w:sz w:val="24"/>
          <w:szCs w:val="24"/>
        </w:rPr>
        <w:t>documento anexo a esta deliberação</w:t>
      </w:r>
      <w:r w:rsidRPr="00465D0B">
        <w:rPr>
          <w:sz w:val="24"/>
          <w:szCs w:val="24"/>
        </w:rPr>
        <w:t>.</w:t>
      </w:r>
    </w:p>
    <w:p w14:paraId="57A9E8F7" w14:textId="77777777" w:rsidR="00806F7F" w:rsidRDefault="00806F7F" w:rsidP="00806F7F">
      <w:pPr>
        <w:pStyle w:val="Corpodetexto2"/>
        <w:rPr>
          <w:sz w:val="24"/>
          <w:szCs w:val="24"/>
        </w:rPr>
      </w:pPr>
    </w:p>
    <w:p w14:paraId="18CB0F80" w14:textId="7AEC7AF0" w:rsidR="00806F7F" w:rsidRPr="007B0EEC" w:rsidRDefault="00806F7F" w:rsidP="00806F7F">
      <w:pPr>
        <w:pStyle w:val="Corpodetexto2"/>
        <w:rPr>
          <w:sz w:val="24"/>
          <w:szCs w:val="24"/>
        </w:rPr>
      </w:pPr>
      <w:r w:rsidRPr="00D30110">
        <w:rPr>
          <w:sz w:val="24"/>
          <w:szCs w:val="24"/>
        </w:rPr>
        <w:t xml:space="preserve">Com </w:t>
      </w:r>
      <w:r w:rsidRPr="00D30110">
        <w:rPr>
          <w:b/>
          <w:sz w:val="24"/>
          <w:szCs w:val="24"/>
        </w:rPr>
        <w:t>0</w:t>
      </w:r>
      <w:r w:rsidR="00743AC3">
        <w:rPr>
          <w:b/>
          <w:sz w:val="24"/>
          <w:szCs w:val="24"/>
        </w:rPr>
        <w:t>2</w:t>
      </w:r>
      <w:r w:rsidRPr="00D30110">
        <w:rPr>
          <w:b/>
          <w:sz w:val="24"/>
          <w:szCs w:val="24"/>
        </w:rPr>
        <w:t xml:space="preserve"> votos favoráveis</w:t>
      </w:r>
      <w:r w:rsidRPr="00D30110">
        <w:rPr>
          <w:sz w:val="24"/>
          <w:szCs w:val="24"/>
        </w:rPr>
        <w:t xml:space="preserve"> d</w:t>
      </w:r>
      <w:r w:rsidR="00743AC3">
        <w:rPr>
          <w:sz w:val="24"/>
          <w:szCs w:val="24"/>
        </w:rPr>
        <w:t>a</w:t>
      </w:r>
      <w:r w:rsidRPr="00D30110">
        <w:rPr>
          <w:sz w:val="24"/>
          <w:szCs w:val="24"/>
        </w:rPr>
        <w:t>s Conselheir</w:t>
      </w:r>
      <w:r w:rsidR="00743AC3">
        <w:rPr>
          <w:sz w:val="24"/>
          <w:szCs w:val="24"/>
        </w:rPr>
        <w:t>a</w:t>
      </w:r>
      <w:r w:rsidRPr="00D30110">
        <w:rPr>
          <w:sz w:val="24"/>
          <w:szCs w:val="24"/>
        </w:rPr>
        <w:t>s</w:t>
      </w:r>
      <w:r w:rsidR="00FB416B">
        <w:rPr>
          <w:sz w:val="24"/>
          <w:szCs w:val="24"/>
        </w:rPr>
        <w:t xml:space="preserve"> </w:t>
      </w:r>
      <w:proofErr w:type="spellStart"/>
      <w:r w:rsidR="00FB416B" w:rsidRPr="00FB416B">
        <w:rPr>
          <w:sz w:val="24"/>
          <w:szCs w:val="24"/>
        </w:rPr>
        <w:t>Margiria</w:t>
      </w:r>
      <w:proofErr w:type="spellEnd"/>
      <w:r w:rsidR="00FB416B" w:rsidRPr="00FB416B">
        <w:rPr>
          <w:sz w:val="24"/>
          <w:szCs w:val="24"/>
        </w:rPr>
        <w:t xml:space="preserve"> </w:t>
      </w:r>
      <w:proofErr w:type="spellStart"/>
      <w:r w:rsidR="00FB416B" w:rsidRPr="00FB416B">
        <w:rPr>
          <w:sz w:val="24"/>
          <w:szCs w:val="24"/>
        </w:rPr>
        <w:t>Mercia</w:t>
      </w:r>
      <w:proofErr w:type="spellEnd"/>
      <w:r w:rsidR="00FB416B" w:rsidRPr="00FB416B">
        <w:rPr>
          <w:sz w:val="24"/>
          <w:szCs w:val="24"/>
        </w:rPr>
        <w:t xml:space="preserve"> Carvalho Oliveira França</w:t>
      </w:r>
      <w:r w:rsidRPr="00D30110">
        <w:rPr>
          <w:bCs/>
          <w:sz w:val="24"/>
          <w:szCs w:val="24"/>
        </w:rPr>
        <w:t>,</w:t>
      </w:r>
      <w:r w:rsidR="00FB416B">
        <w:rPr>
          <w:bCs/>
          <w:sz w:val="24"/>
          <w:szCs w:val="24"/>
        </w:rPr>
        <w:t xml:space="preserve"> </w:t>
      </w:r>
      <w:r w:rsidR="00E13057" w:rsidRPr="00E13057">
        <w:rPr>
          <w:bCs/>
          <w:sz w:val="24"/>
          <w:szCs w:val="24"/>
        </w:rPr>
        <w:t>Lorena Coimbra Cerqueira Tenório</w:t>
      </w:r>
      <w:r w:rsidR="00E13057">
        <w:rPr>
          <w:bCs/>
          <w:sz w:val="24"/>
          <w:szCs w:val="24"/>
        </w:rPr>
        <w:t>,</w:t>
      </w:r>
      <w:r w:rsidRPr="00D30110">
        <w:rPr>
          <w:bCs/>
          <w:sz w:val="24"/>
          <w:szCs w:val="24"/>
        </w:rPr>
        <w:t xml:space="preserve"> </w:t>
      </w:r>
      <w:r w:rsidRPr="00D30110">
        <w:rPr>
          <w:b/>
          <w:bCs/>
          <w:sz w:val="24"/>
          <w:szCs w:val="24"/>
        </w:rPr>
        <w:t xml:space="preserve">00 votos contrários, 00 abstenções </w:t>
      </w:r>
      <w:r w:rsidRPr="00D30110">
        <w:rPr>
          <w:bCs/>
          <w:sz w:val="24"/>
          <w:szCs w:val="24"/>
        </w:rPr>
        <w:t xml:space="preserve">e </w:t>
      </w:r>
      <w:r w:rsidRPr="00D30110">
        <w:rPr>
          <w:b/>
          <w:bCs/>
          <w:sz w:val="24"/>
          <w:szCs w:val="24"/>
        </w:rPr>
        <w:t xml:space="preserve">01 ausência </w:t>
      </w:r>
      <w:r w:rsidRPr="00D30110">
        <w:rPr>
          <w:sz w:val="24"/>
          <w:szCs w:val="24"/>
        </w:rPr>
        <w:t xml:space="preserve">da conselheira </w:t>
      </w:r>
      <w:r w:rsidR="00E13057" w:rsidRPr="00E13057">
        <w:rPr>
          <w:bCs/>
          <w:sz w:val="24"/>
          <w:szCs w:val="24"/>
        </w:rPr>
        <w:t xml:space="preserve">Sofia Campos </w:t>
      </w:r>
      <w:proofErr w:type="spellStart"/>
      <w:r w:rsidR="00E13057" w:rsidRPr="00E13057">
        <w:rPr>
          <w:bCs/>
          <w:sz w:val="24"/>
          <w:szCs w:val="24"/>
        </w:rPr>
        <w:t>Christopoulos</w:t>
      </w:r>
      <w:proofErr w:type="spellEnd"/>
      <w:r w:rsidRPr="00D30110">
        <w:rPr>
          <w:sz w:val="24"/>
          <w:szCs w:val="24"/>
        </w:rPr>
        <w:t>.</w:t>
      </w:r>
    </w:p>
    <w:p w14:paraId="411E4F95" w14:textId="77777777" w:rsidR="00806F7F" w:rsidRPr="00BB301F" w:rsidRDefault="00806F7F" w:rsidP="00806F7F">
      <w:pPr>
        <w:pStyle w:val="Corpodetexto2"/>
        <w:rPr>
          <w:sz w:val="24"/>
          <w:szCs w:val="24"/>
        </w:rPr>
      </w:pPr>
    </w:p>
    <w:p w14:paraId="42DFD5CE" w14:textId="0FD5ACE6" w:rsidR="00806F7F" w:rsidRPr="00BB301F" w:rsidRDefault="00806F7F" w:rsidP="00806F7F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 w:rsidR="00E13057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 w:rsidRPr="00BB301F">
        <w:rPr>
          <w:rFonts w:ascii="Times New Roman" w:hAnsi="Times New Roman"/>
        </w:rPr>
        <w:t xml:space="preserve">de </w:t>
      </w:r>
      <w:r w:rsidR="00E13057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2024</w:t>
      </w:r>
      <w:r w:rsidRPr="00BB301F">
        <w:rPr>
          <w:rFonts w:ascii="Times New Roman" w:hAnsi="Times New Roman"/>
        </w:rPr>
        <w:t>.</w:t>
      </w:r>
    </w:p>
    <w:p w14:paraId="201A0F0A" w14:textId="77777777" w:rsidR="00806F7F" w:rsidRDefault="00806F7F" w:rsidP="00806F7F">
      <w:pPr>
        <w:jc w:val="center"/>
        <w:rPr>
          <w:rFonts w:ascii="Times New Roman" w:hAnsi="Times New Roman"/>
        </w:rPr>
      </w:pPr>
    </w:p>
    <w:p w14:paraId="13D63CEF" w14:textId="77777777" w:rsidR="00E13057" w:rsidRDefault="00E13057" w:rsidP="00806F7F">
      <w:pPr>
        <w:jc w:val="center"/>
        <w:rPr>
          <w:rFonts w:ascii="Times New Roman" w:hAnsi="Times New Roman"/>
        </w:rPr>
      </w:pPr>
    </w:p>
    <w:p w14:paraId="352CCC04" w14:textId="77777777" w:rsidR="00E13057" w:rsidRDefault="00E13057" w:rsidP="00806F7F">
      <w:pPr>
        <w:jc w:val="center"/>
        <w:rPr>
          <w:rFonts w:ascii="Times New Roman" w:hAnsi="Times New Roman"/>
        </w:rPr>
      </w:pPr>
    </w:p>
    <w:p w14:paraId="30E86A9C" w14:textId="060E7C96" w:rsidR="00E13057" w:rsidRDefault="00E13057" w:rsidP="00806F7F">
      <w:pPr>
        <w:jc w:val="center"/>
        <w:rPr>
          <w:rFonts w:ascii="Times New Roman" w:hAnsi="Times New Roman"/>
          <w:b/>
          <w:sz w:val="20"/>
          <w:szCs w:val="20"/>
        </w:rPr>
      </w:pPr>
      <w:r w:rsidRPr="00E13057">
        <w:rPr>
          <w:rFonts w:ascii="Times New Roman" w:hAnsi="Times New Roman"/>
          <w:b/>
          <w:sz w:val="20"/>
          <w:szCs w:val="20"/>
        </w:rPr>
        <w:t>MARGIRIA MERCIA CARVALHO OLIVEIRA FRANÇA</w:t>
      </w:r>
    </w:p>
    <w:p w14:paraId="28223ECB" w14:textId="66A4057A" w:rsidR="00E13057" w:rsidRDefault="00E13057" w:rsidP="00806F7F">
      <w:pPr>
        <w:jc w:val="center"/>
        <w:rPr>
          <w:rFonts w:ascii="Times New Roman" w:hAnsi="Times New Roman"/>
          <w:bCs/>
          <w:sz w:val="20"/>
          <w:szCs w:val="20"/>
        </w:rPr>
      </w:pPr>
      <w:r w:rsidRPr="00E13057">
        <w:rPr>
          <w:rFonts w:ascii="Times New Roman" w:hAnsi="Times New Roman"/>
          <w:bCs/>
          <w:sz w:val="20"/>
          <w:szCs w:val="20"/>
        </w:rPr>
        <w:t>Coordenação</w:t>
      </w:r>
    </w:p>
    <w:p w14:paraId="01421CB6" w14:textId="77777777" w:rsidR="003C1A70" w:rsidRDefault="003C1A70" w:rsidP="00806F7F">
      <w:pPr>
        <w:jc w:val="center"/>
        <w:rPr>
          <w:rFonts w:ascii="Times New Roman" w:hAnsi="Times New Roman"/>
          <w:bCs/>
        </w:rPr>
      </w:pPr>
    </w:p>
    <w:p w14:paraId="5161C5A6" w14:textId="77777777" w:rsidR="003C1A70" w:rsidRDefault="003C1A70" w:rsidP="00806F7F">
      <w:pPr>
        <w:jc w:val="center"/>
        <w:rPr>
          <w:rFonts w:ascii="Times New Roman" w:hAnsi="Times New Roman"/>
          <w:bCs/>
        </w:rPr>
      </w:pPr>
    </w:p>
    <w:p w14:paraId="688B3C34" w14:textId="77777777" w:rsidR="003C1A70" w:rsidRPr="00E13057" w:rsidRDefault="003C1A70" w:rsidP="00806F7F">
      <w:pPr>
        <w:jc w:val="center"/>
        <w:rPr>
          <w:rFonts w:ascii="Times New Roman" w:hAnsi="Times New Roman"/>
          <w:bCs/>
        </w:rPr>
      </w:pPr>
    </w:p>
    <w:p w14:paraId="662CFDB2" w14:textId="58672DAD" w:rsidR="00E13057" w:rsidRDefault="003C1A70" w:rsidP="00806F7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LOREN</w:t>
      </w:r>
      <w:r w:rsidR="00E13057" w:rsidRPr="00E13057">
        <w:rPr>
          <w:rFonts w:ascii="Times New Roman" w:hAnsi="Times New Roman"/>
          <w:b/>
          <w:sz w:val="20"/>
          <w:szCs w:val="20"/>
        </w:rPr>
        <w:t>A COIMBRA CERQUEIRA TENÓRIO</w:t>
      </w:r>
    </w:p>
    <w:p w14:paraId="34117911" w14:textId="7A3D2A30" w:rsidR="003C1A70" w:rsidRDefault="00E13057" w:rsidP="00E00836">
      <w:pPr>
        <w:jc w:val="center"/>
        <w:rPr>
          <w:rFonts w:ascii="Times New Roman" w:hAnsi="Times New Roman"/>
          <w:bCs/>
          <w:sz w:val="20"/>
          <w:szCs w:val="20"/>
        </w:rPr>
      </w:pPr>
      <w:r w:rsidRPr="00E13057">
        <w:rPr>
          <w:rFonts w:ascii="Times New Roman" w:hAnsi="Times New Roman"/>
          <w:bCs/>
          <w:sz w:val="20"/>
          <w:szCs w:val="20"/>
        </w:rPr>
        <w:t>Coordenação</w:t>
      </w:r>
      <w:r>
        <w:rPr>
          <w:rFonts w:ascii="Times New Roman" w:hAnsi="Times New Roman"/>
          <w:bCs/>
          <w:sz w:val="20"/>
          <w:szCs w:val="20"/>
        </w:rPr>
        <w:t xml:space="preserve"> Adjunta</w:t>
      </w:r>
    </w:p>
    <w:p w14:paraId="178871B2" w14:textId="77777777" w:rsidR="003C1A70" w:rsidRDefault="003C1A70">
      <w:pPr>
        <w:spacing w:after="160" w:line="259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14:paraId="09E2872E" w14:textId="77777777" w:rsidR="003C1A70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  <w:sectPr w:rsidR="003C1A70" w:rsidSect="00ED1911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24DB59E" w14:textId="19987C3A" w:rsidR="00043E9B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</w:pPr>
      <w:r w:rsidRPr="003C1A70">
        <w:rPr>
          <w:rFonts w:ascii="Times New Roman" w:hAnsi="Times New Roman"/>
          <w:b/>
          <w:sz w:val="20"/>
          <w:szCs w:val="20"/>
        </w:rPr>
        <w:lastRenderedPageBreak/>
        <w:t>ANEXO ÚNICO</w:t>
      </w:r>
    </w:p>
    <w:p w14:paraId="113B31C7" w14:textId="77777777" w:rsidR="003C1A70" w:rsidRDefault="003C1A70" w:rsidP="00E0083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4233" w:type="dxa"/>
        <w:tblLook w:val="04A0" w:firstRow="1" w:lastRow="0" w:firstColumn="1" w:lastColumn="0" w:noHBand="0" w:noVBand="1"/>
      </w:tblPr>
      <w:tblGrid>
        <w:gridCol w:w="839"/>
        <w:gridCol w:w="1268"/>
        <w:gridCol w:w="4093"/>
        <w:gridCol w:w="4294"/>
        <w:gridCol w:w="1718"/>
        <w:gridCol w:w="2021"/>
      </w:tblGrid>
      <w:tr w:rsidR="004C1C00" w:rsidRPr="004C1C00" w14:paraId="739971C1" w14:textId="77777777" w:rsidTr="004C1C00">
        <w:trPr>
          <w:trHeight w:val="1489"/>
        </w:trPr>
        <w:tc>
          <w:tcPr>
            <w:tcW w:w="839" w:type="dxa"/>
            <w:vAlign w:val="center"/>
            <w:hideMark/>
          </w:tcPr>
          <w:p w14:paraId="3539C5A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26" w:type="dxa"/>
            <w:vAlign w:val="center"/>
            <w:hideMark/>
          </w:tcPr>
          <w:p w14:paraId="0460105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2792" w:type="dxa"/>
            <w:vAlign w:val="center"/>
            <w:hideMark/>
          </w:tcPr>
          <w:p w14:paraId="745F21A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DESCRIÇÃO SUCINTA DO OBJETO</w:t>
            </w:r>
          </w:p>
        </w:tc>
        <w:tc>
          <w:tcPr>
            <w:tcW w:w="5505" w:type="dxa"/>
            <w:vAlign w:val="center"/>
            <w:hideMark/>
          </w:tcPr>
          <w:p w14:paraId="009A29C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1750" w:type="dxa"/>
            <w:vAlign w:val="center"/>
            <w:hideMark/>
          </w:tcPr>
          <w:p w14:paraId="3540AC2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QUANTIDADE A SER CONTRATADA</w:t>
            </w:r>
          </w:p>
        </w:tc>
        <w:tc>
          <w:tcPr>
            <w:tcW w:w="2021" w:type="dxa"/>
            <w:vAlign w:val="center"/>
            <w:hideMark/>
          </w:tcPr>
          <w:p w14:paraId="1843943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C00">
              <w:rPr>
                <w:rFonts w:ascii="Times New Roman" w:hAnsi="Times New Roman"/>
                <w:b/>
                <w:bCs/>
                <w:sz w:val="20"/>
                <w:szCs w:val="20"/>
              </w:rPr>
              <w:t>DATA PRETENDIDA PARA A CONCLUSÃO DA CONTRATAÇÃO</w:t>
            </w:r>
          </w:p>
        </w:tc>
      </w:tr>
      <w:tr w:rsidR="004C1C00" w:rsidRPr="004C1C00" w14:paraId="503FB4E6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60AE000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  <w:hideMark/>
          </w:tcPr>
          <w:p w14:paraId="0E43AEA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558F6F7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Proteção Individual (EPI):</w:t>
            </w:r>
          </w:p>
        </w:tc>
        <w:tc>
          <w:tcPr>
            <w:tcW w:w="5505" w:type="dxa"/>
            <w:vAlign w:val="center"/>
            <w:hideMark/>
          </w:tcPr>
          <w:p w14:paraId="7AB50B2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CAU/AL pode adquirir EPIs para garantir a segurança dos funcionários durante atividades que envolvam visitas a obras, fiscalização ou mesmo no ambiente de trabalho, cumprindo assim com as normas de segurança do trabalho e zelando pela integridade física de seus colaboradores.</w:t>
            </w:r>
          </w:p>
        </w:tc>
        <w:tc>
          <w:tcPr>
            <w:tcW w:w="1750" w:type="dxa"/>
            <w:vAlign w:val="center"/>
            <w:hideMark/>
          </w:tcPr>
          <w:p w14:paraId="0E7A34A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021" w:type="dxa"/>
            <w:noWrap/>
            <w:vAlign w:val="center"/>
            <w:hideMark/>
          </w:tcPr>
          <w:p w14:paraId="7ED1C35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32B47C2A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370BCE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  <w:hideMark/>
          </w:tcPr>
          <w:p w14:paraId="5AF50A6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059DDDE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Filmagem (câmera, microfone):</w:t>
            </w:r>
          </w:p>
        </w:tc>
        <w:tc>
          <w:tcPr>
            <w:tcW w:w="5505" w:type="dxa"/>
            <w:vAlign w:val="center"/>
            <w:hideMark/>
          </w:tcPr>
          <w:p w14:paraId="1455B1E5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equipamentos são essenciais para a produção de conteúdo audiovisual que pode ser utilizado em campanhas de conscientização, divulgação de eventos, e até mesmo para registrar e documentar as atividades do conselho, como palestras, seminários e workshops.</w:t>
            </w:r>
          </w:p>
        </w:tc>
        <w:tc>
          <w:tcPr>
            <w:tcW w:w="1750" w:type="dxa"/>
            <w:vAlign w:val="center"/>
            <w:hideMark/>
          </w:tcPr>
          <w:p w14:paraId="369657A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7BC026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164D0B73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510C15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vAlign w:val="center"/>
            <w:hideMark/>
          </w:tcPr>
          <w:p w14:paraId="57AE0CD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4B2EFE4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Equipamentos de Videochamadas (câmera, microfone):</w:t>
            </w:r>
          </w:p>
        </w:tc>
        <w:tc>
          <w:tcPr>
            <w:tcW w:w="5505" w:type="dxa"/>
            <w:vAlign w:val="center"/>
            <w:hideMark/>
          </w:tcPr>
          <w:p w14:paraId="64DEAF4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Com a crescente necessidade de comunicação remota, adquirir equipamentos de videochamadas garante que o CAU/AL possa realizar reuniões virtuais de forma eficiente, mantendo o contato com os arquitetos e urbanistas, além de otimizar o trabalho interno entre os colaboradores.</w:t>
            </w:r>
          </w:p>
        </w:tc>
        <w:tc>
          <w:tcPr>
            <w:tcW w:w="1750" w:type="dxa"/>
            <w:vAlign w:val="center"/>
            <w:hideMark/>
          </w:tcPr>
          <w:p w14:paraId="4DF738C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A63EB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1D6A20C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4BCFE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6" w:type="dxa"/>
            <w:vAlign w:val="center"/>
            <w:hideMark/>
          </w:tcPr>
          <w:p w14:paraId="018568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6139AD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Fardamentos (Colete)</w:t>
            </w:r>
          </w:p>
        </w:tc>
        <w:tc>
          <w:tcPr>
            <w:tcW w:w="5505" w:type="dxa"/>
            <w:vAlign w:val="center"/>
            <w:hideMark/>
          </w:tcPr>
          <w:p w14:paraId="6928977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padronização dos fardamentos contribui para a identificação visual dos funcionários durante eventos, reuniões e visitas externas, transmitindo profissionalismo e fortalecendo a imagem institucional do CAU/AL.</w:t>
            </w:r>
          </w:p>
        </w:tc>
        <w:tc>
          <w:tcPr>
            <w:tcW w:w="1750" w:type="dxa"/>
            <w:vAlign w:val="center"/>
            <w:hideMark/>
          </w:tcPr>
          <w:p w14:paraId="554819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73D0F1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CA3D120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12137DC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vAlign w:val="center"/>
            <w:hideMark/>
          </w:tcPr>
          <w:p w14:paraId="10CDFA5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49099F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Gêneros Alimentícios (café, açúcar, água, chá):</w:t>
            </w:r>
          </w:p>
        </w:tc>
        <w:tc>
          <w:tcPr>
            <w:tcW w:w="5505" w:type="dxa"/>
            <w:vAlign w:val="center"/>
            <w:hideMark/>
          </w:tcPr>
          <w:p w14:paraId="11358E1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itens são essenciais para manter o ambiente de trabalho confortável e acolhedor, proporcionando aos colaboradores a energia necessária para desempenhar suas atividades com qualidade.</w:t>
            </w:r>
          </w:p>
        </w:tc>
        <w:tc>
          <w:tcPr>
            <w:tcW w:w="1750" w:type="dxa"/>
            <w:vAlign w:val="center"/>
            <w:hideMark/>
          </w:tcPr>
          <w:p w14:paraId="4E99918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3CAF8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A3EDD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39A92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  <w:hideMark/>
          </w:tcPr>
          <w:p w14:paraId="0C00104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97C78D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de Copa e Cozinha (garrafas, bandejas):</w:t>
            </w:r>
          </w:p>
        </w:tc>
        <w:tc>
          <w:tcPr>
            <w:tcW w:w="5505" w:type="dxa"/>
            <w:vAlign w:val="center"/>
            <w:hideMark/>
          </w:tcPr>
          <w:p w14:paraId="373480CF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desse material é fundamental para garantir a organização e funcionalidade da copa/cozinha do CAU/AL, facilitando o atendimento às necessidades dos funcionários e visitantes.</w:t>
            </w:r>
          </w:p>
        </w:tc>
        <w:tc>
          <w:tcPr>
            <w:tcW w:w="1750" w:type="dxa"/>
            <w:vAlign w:val="center"/>
            <w:hideMark/>
          </w:tcPr>
          <w:p w14:paraId="743E61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35471F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F6FB62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40E808E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  <w:hideMark/>
          </w:tcPr>
          <w:p w14:paraId="20AB524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678124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de Expediente:</w:t>
            </w:r>
          </w:p>
        </w:tc>
        <w:tc>
          <w:tcPr>
            <w:tcW w:w="5505" w:type="dxa"/>
            <w:vAlign w:val="center"/>
            <w:hideMark/>
          </w:tcPr>
          <w:p w14:paraId="6062E645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material de expediente é indispensável para o funcionamento administrativo do CAU/AL, sendo utilizado em atividades cotidianas como elaboração de documentos, correspondências e relatórios.</w:t>
            </w:r>
          </w:p>
        </w:tc>
        <w:tc>
          <w:tcPr>
            <w:tcW w:w="1750" w:type="dxa"/>
            <w:vAlign w:val="center"/>
            <w:hideMark/>
          </w:tcPr>
          <w:p w14:paraId="4D28CA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65113C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BF932B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2BAC6E6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vAlign w:val="center"/>
            <w:hideMark/>
          </w:tcPr>
          <w:p w14:paraId="11145D1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5543A52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Material Gráfico:</w:t>
            </w:r>
          </w:p>
        </w:tc>
        <w:tc>
          <w:tcPr>
            <w:tcW w:w="5505" w:type="dxa"/>
            <w:vAlign w:val="center"/>
            <w:hideMark/>
          </w:tcPr>
          <w:p w14:paraId="1F24922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material gráfico possibilita a produção de materiais de divulgação institucional, como folders, cartazes e informativos, contribuindo para a promoção das atividades e eventos do conselho.</w:t>
            </w:r>
          </w:p>
        </w:tc>
        <w:tc>
          <w:tcPr>
            <w:tcW w:w="1750" w:type="dxa"/>
            <w:vAlign w:val="center"/>
            <w:hideMark/>
          </w:tcPr>
          <w:p w14:paraId="5908B8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5B6701D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53C98E27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57D933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6" w:type="dxa"/>
            <w:vAlign w:val="center"/>
            <w:hideMark/>
          </w:tcPr>
          <w:p w14:paraId="1D85807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259E4D1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Micro-ondas para Copa:</w:t>
            </w:r>
          </w:p>
        </w:tc>
        <w:tc>
          <w:tcPr>
            <w:tcW w:w="5505" w:type="dxa"/>
            <w:vAlign w:val="center"/>
            <w:hideMark/>
          </w:tcPr>
          <w:p w14:paraId="4501435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disponibilidade de um micro-ondas na copa oferece praticidade aos funcionários, permitindo que possam aquecer refeições durante o expediente, promovendo assim o bem-estar no ambiente de trabalho.</w:t>
            </w:r>
          </w:p>
        </w:tc>
        <w:tc>
          <w:tcPr>
            <w:tcW w:w="1750" w:type="dxa"/>
            <w:vAlign w:val="center"/>
            <w:hideMark/>
          </w:tcPr>
          <w:p w14:paraId="5C81AA2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89A555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9B39481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765F3F0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26" w:type="dxa"/>
            <w:vAlign w:val="center"/>
            <w:hideMark/>
          </w:tcPr>
          <w:p w14:paraId="3F0155E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3149ED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Mochila para Notebooks:</w:t>
            </w:r>
          </w:p>
        </w:tc>
        <w:tc>
          <w:tcPr>
            <w:tcW w:w="5505" w:type="dxa"/>
            <w:vAlign w:val="center"/>
            <w:hideMark/>
          </w:tcPr>
          <w:p w14:paraId="7C315B0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mochila para notebooks proporciona segurança e comodidade no transporte de equipamentos eletrônicos utilizados pelos colaboradores em deslocamentos externos, como reuniões e visitas técnicas.</w:t>
            </w:r>
          </w:p>
        </w:tc>
        <w:tc>
          <w:tcPr>
            <w:tcW w:w="1750" w:type="dxa"/>
            <w:vAlign w:val="center"/>
            <w:hideMark/>
          </w:tcPr>
          <w:p w14:paraId="0C7EC5D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021" w:type="dxa"/>
            <w:noWrap/>
            <w:vAlign w:val="center"/>
            <w:hideMark/>
          </w:tcPr>
          <w:p w14:paraId="02372C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29A6994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954D6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vAlign w:val="center"/>
            <w:hideMark/>
          </w:tcPr>
          <w:p w14:paraId="66B41C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26C287B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Notebook / Triturador</w:t>
            </w:r>
          </w:p>
        </w:tc>
        <w:tc>
          <w:tcPr>
            <w:tcW w:w="5505" w:type="dxa"/>
            <w:vAlign w:val="center"/>
            <w:hideMark/>
          </w:tcPr>
          <w:p w14:paraId="0FDD791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notebooks é fundamental para garantir a mobilidade e eficiência dos colaboradores, permitindo que realizem suas atividades mesmo fora do ambiente de trabalho, contribuindo para a produtividade e flexibilidade operacional.</w:t>
            </w:r>
          </w:p>
        </w:tc>
        <w:tc>
          <w:tcPr>
            <w:tcW w:w="1750" w:type="dxa"/>
            <w:vAlign w:val="center"/>
            <w:hideMark/>
          </w:tcPr>
          <w:p w14:paraId="3E7BE3C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021" w:type="dxa"/>
            <w:noWrap/>
            <w:vAlign w:val="center"/>
            <w:hideMark/>
          </w:tcPr>
          <w:p w14:paraId="42E83DD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71E7875C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58D13D3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  <w:hideMark/>
          </w:tcPr>
          <w:p w14:paraId="6E272B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6FB3D54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Sistema Adobe (Photoshop e Illustrator):</w:t>
            </w:r>
          </w:p>
        </w:tc>
        <w:tc>
          <w:tcPr>
            <w:tcW w:w="5505" w:type="dxa"/>
            <w:vAlign w:val="center"/>
            <w:hideMark/>
          </w:tcPr>
          <w:p w14:paraId="610ABFB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investimento em software como o Adobe Photoshop e Illustrator é essencial para a produção de material gráfico de qualidade, como peças publicitárias, layouts de documentos e edição de imagens, garantindo assim a excelência na comunicação visual do CAU/AL.</w:t>
            </w:r>
          </w:p>
        </w:tc>
        <w:tc>
          <w:tcPr>
            <w:tcW w:w="1750" w:type="dxa"/>
            <w:vAlign w:val="center"/>
            <w:hideMark/>
          </w:tcPr>
          <w:p w14:paraId="7469BA1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A96AFE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5E365A84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A40CF1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vAlign w:val="center"/>
            <w:hideMark/>
          </w:tcPr>
          <w:p w14:paraId="0355197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Bens e Serviços</w:t>
            </w:r>
          </w:p>
        </w:tc>
        <w:tc>
          <w:tcPr>
            <w:tcW w:w="2792" w:type="dxa"/>
            <w:noWrap/>
            <w:vAlign w:val="center"/>
            <w:hideMark/>
          </w:tcPr>
          <w:p w14:paraId="72BDE27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Tablet para Fiscalização/Atendimento:</w:t>
            </w:r>
          </w:p>
        </w:tc>
        <w:tc>
          <w:tcPr>
            <w:tcW w:w="5505" w:type="dxa"/>
            <w:vAlign w:val="center"/>
            <w:hideMark/>
          </w:tcPr>
          <w:p w14:paraId="79A59D9C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aquisição de tablets permite maior agilidade e praticidade nas atividades de fiscalização e atendimento, facilitando o acesso a documentos e sistemas durante deslocamentos externos.</w:t>
            </w:r>
          </w:p>
        </w:tc>
        <w:tc>
          <w:tcPr>
            <w:tcW w:w="1750" w:type="dxa"/>
            <w:vAlign w:val="center"/>
            <w:hideMark/>
          </w:tcPr>
          <w:p w14:paraId="619C6B3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12E45FA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7CDB517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63B53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6" w:type="dxa"/>
            <w:vAlign w:val="center"/>
            <w:hideMark/>
          </w:tcPr>
          <w:p w14:paraId="0CFC051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B5B24C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Contábil:</w:t>
            </w:r>
          </w:p>
        </w:tc>
        <w:tc>
          <w:tcPr>
            <w:tcW w:w="5505" w:type="dxa"/>
            <w:vAlign w:val="center"/>
            <w:hideMark/>
          </w:tcPr>
          <w:p w14:paraId="329FE58D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uma assessoria contábil é fundamental para garantir o cumprimento das obrigações fiscais e contábeis do CAU/AL, além de oferecer suporte na gestão financeira e no planejamento orçamentário.</w:t>
            </w:r>
          </w:p>
        </w:tc>
        <w:tc>
          <w:tcPr>
            <w:tcW w:w="1750" w:type="dxa"/>
            <w:vAlign w:val="center"/>
            <w:hideMark/>
          </w:tcPr>
          <w:p w14:paraId="3B362F9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0C2664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6CA8FE2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04D0421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26" w:type="dxa"/>
            <w:vAlign w:val="center"/>
            <w:hideMark/>
          </w:tcPr>
          <w:p w14:paraId="4484C89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50F5CC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de Comunicação:</w:t>
            </w:r>
          </w:p>
        </w:tc>
        <w:tc>
          <w:tcPr>
            <w:tcW w:w="5505" w:type="dxa"/>
            <w:vAlign w:val="center"/>
            <w:hideMark/>
          </w:tcPr>
          <w:p w14:paraId="29684DE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Uma assessoria de comunicação é essencial para elaborar estratégias de comunicação eficazes, fortalecendo a imagem institucional do CAU/AL, além de promover a divulgação de suas atividades e ações para o público-alvo.</w:t>
            </w:r>
          </w:p>
        </w:tc>
        <w:tc>
          <w:tcPr>
            <w:tcW w:w="1750" w:type="dxa"/>
            <w:vAlign w:val="center"/>
            <w:hideMark/>
          </w:tcPr>
          <w:p w14:paraId="2180CB6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6E686A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F4E471A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3FEB3C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26" w:type="dxa"/>
            <w:vAlign w:val="center"/>
            <w:hideMark/>
          </w:tcPr>
          <w:p w14:paraId="2D43E1F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2040803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em Desenvolvimento do Plano de Cargos, Carreira e Salários (PCCS):</w:t>
            </w:r>
          </w:p>
        </w:tc>
        <w:tc>
          <w:tcPr>
            <w:tcW w:w="5505" w:type="dxa"/>
            <w:vAlign w:val="center"/>
            <w:hideMark/>
          </w:tcPr>
          <w:p w14:paraId="6582D23B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desenvolvimento de um PCCS é fundamental para estabelecer critérios claros de remuneração e progressão na carreira dos colaboradores do CAU/AL, contribuindo para a motivação e retenção de talentos.</w:t>
            </w:r>
          </w:p>
        </w:tc>
        <w:tc>
          <w:tcPr>
            <w:tcW w:w="1750" w:type="dxa"/>
            <w:vAlign w:val="center"/>
            <w:hideMark/>
          </w:tcPr>
          <w:p w14:paraId="66C819F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15B1C0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07DAB28D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390A8A2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26" w:type="dxa"/>
            <w:vAlign w:val="center"/>
            <w:hideMark/>
          </w:tcPr>
          <w:p w14:paraId="6462247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241D316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em Planejamento Estratégico:</w:t>
            </w:r>
          </w:p>
        </w:tc>
        <w:tc>
          <w:tcPr>
            <w:tcW w:w="5505" w:type="dxa"/>
            <w:vAlign w:val="center"/>
            <w:hideMark/>
          </w:tcPr>
          <w:p w14:paraId="0EFD56A0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Uma assessoria em planejamento estratégico é essencial para orientar a definição de metas e objetivos do CAU/AL, bem como para elaborar planos de ação alinhados com sua missão e visão institucional.</w:t>
            </w:r>
          </w:p>
        </w:tc>
        <w:tc>
          <w:tcPr>
            <w:tcW w:w="1750" w:type="dxa"/>
            <w:vAlign w:val="center"/>
            <w:hideMark/>
          </w:tcPr>
          <w:p w14:paraId="27F0E48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BF9591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26C0A07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C0088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6" w:type="dxa"/>
            <w:vAlign w:val="center"/>
            <w:hideMark/>
          </w:tcPr>
          <w:p w14:paraId="6B8A995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3F2A9B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Assessoria Jurídica:</w:t>
            </w:r>
          </w:p>
        </w:tc>
        <w:tc>
          <w:tcPr>
            <w:tcW w:w="5505" w:type="dxa"/>
            <w:vAlign w:val="center"/>
            <w:hideMark/>
          </w:tcPr>
          <w:p w14:paraId="60A6885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uma assessoria jurídica é fundamental para garantir a segurança jurídica das atividades do CAU/AL, oferecendo suporte na elaboração de contratos, pareceres e na resolução de questões legais.</w:t>
            </w:r>
          </w:p>
        </w:tc>
        <w:tc>
          <w:tcPr>
            <w:tcW w:w="1750" w:type="dxa"/>
            <w:vAlign w:val="center"/>
            <w:hideMark/>
          </w:tcPr>
          <w:p w14:paraId="6FC95F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5F8BCB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0101AD9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75C970B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26" w:type="dxa"/>
            <w:vAlign w:val="center"/>
            <w:hideMark/>
          </w:tcPr>
          <w:p w14:paraId="4BF5922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6F4468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Concurso Público:</w:t>
            </w:r>
          </w:p>
        </w:tc>
        <w:tc>
          <w:tcPr>
            <w:tcW w:w="5505" w:type="dxa"/>
            <w:vAlign w:val="center"/>
            <w:hideMark/>
          </w:tcPr>
          <w:p w14:paraId="0442352F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realização de concurso público é fundamental para garantir a renovação e o fortalecimento do quadro de servidores do CAU/AL, promovendo a meritocracia e a eficiência na prestação de serviços públicos.</w:t>
            </w:r>
          </w:p>
        </w:tc>
        <w:tc>
          <w:tcPr>
            <w:tcW w:w="1750" w:type="dxa"/>
            <w:vAlign w:val="center"/>
            <w:hideMark/>
          </w:tcPr>
          <w:p w14:paraId="7AFF0FE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DDF77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1497F6E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386C126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  <w:hideMark/>
          </w:tcPr>
          <w:p w14:paraId="250ACFE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AD60DE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Contratação de Fornecimento de Combustível:</w:t>
            </w:r>
          </w:p>
        </w:tc>
        <w:tc>
          <w:tcPr>
            <w:tcW w:w="5505" w:type="dxa"/>
            <w:vAlign w:val="center"/>
            <w:hideMark/>
          </w:tcPr>
          <w:p w14:paraId="70E154D3" w14:textId="09ABBABD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Essa contratação é necessária para garantir a mobilidade dos veículos utilizados pelo CAU/AL em suas atividades externas, como fiscalizações e visitas técnicas.</w:t>
            </w:r>
          </w:p>
        </w:tc>
        <w:tc>
          <w:tcPr>
            <w:tcW w:w="1750" w:type="dxa"/>
            <w:vAlign w:val="center"/>
            <w:hideMark/>
          </w:tcPr>
          <w:p w14:paraId="0F801C0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088F5C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38EBC64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4BAA51E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26" w:type="dxa"/>
            <w:vAlign w:val="center"/>
            <w:hideMark/>
          </w:tcPr>
          <w:p w14:paraId="6015454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B0F119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Multifuncional (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Colirida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 xml:space="preserve"> modelo A3)</w:t>
            </w:r>
          </w:p>
        </w:tc>
        <w:tc>
          <w:tcPr>
            <w:tcW w:w="5505" w:type="dxa"/>
            <w:vAlign w:val="center"/>
            <w:hideMark/>
          </w:tcPr>
          <w:p w14:paraId="7C22265D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uma multifuncional é fundamental para atender às necessidades de impressão, cópia e digitalização do CAU/AL, garantindo assim a eficiência e a qualidade no gerenciamento de documentos.</w:t>
            </w:r>
          </w:p>
        </w:tc>
        <w:tc>
          <w:tcPr>
            <w:tcW w:w="1750" w:type="dxa"/>
            <w:vAlign w:val="center"/>
            <w:hideMark/>
          </w:tcPr>
          <w:p w14:paraId="4526C88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21" w:type="dxa"/>
            <w:noWrap/>
            <w:vAlign w:val="center"/>
            <w:hideMark/>
          </w:tcPr>
          <w:p w14:paraId="290ED41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0FB1540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4822940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26" w:type="dxa"/>
            <w:vAlign w:val="center"/>
            <w:hideMark/>
          </w:tcPr>
          <w:p w14:paraId="719551D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8709C2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sem Motorista (Mensal):</w:t>
            </w:r>
          </w:p>
        </w:tc>
        <w:tc>
          <w:tcPr>
            <w:tcW w:w="5505" w:type="dxa"/>
            <w:vAlign w:val="center"/>
            <w:hideMark/>
          </w:tcPr>
          <w:p w14:paraId="6322C30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47A1CFD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67DBE5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C64A1AB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2B6AFA5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26" w:type="dxa"/>
            <w:vAlign w:val="center"/>
            <w:hideMark/>
          </w:tcPr>
          <w:p w14:paraId="4212970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E389C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com Motorista (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Diárial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5505" w:type="dxa"/>
            <w:vAlign w:val="center"/>
            <w:hideMark/>
          </w:tcPr>
          <w:p w14:paraId="3CDC3DC6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683AA4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93B8B8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58CFEEC4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B9AFEF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6" w:type="dxa"/>
            <w:vAlign w:val="center"/>
            <w:hideMark/>
          </w:tcPr>
          <w:p w14:paraId="04349F3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71CC546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sem Motorista (Diária):</w:t>
            </w:r>
          </w:p>
        </w:tc>
        <w:tc>
          <w:tcPr>
            <w:tcW w:w="5505" w:type="dxa"/>
            <w:vAlign w:val="center"/>
            <w:hideMark/>
          </w:tcPr>
          <w:p w14:paraId="46CEA3F9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007555E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4B82E2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150 dias</w:t>
            </w:r>
          </w:p>
        </w:tc>
      </w:tr>
      <w:tr w:rsidR="004C1C00" w:rsidRPr="004C1C00" w14:paraId="3D1B1F8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3C07ADD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26" w:type="dxa"/>
            <w:vAlign w:val="center"/>
            <w:hideMark/>
          </w:tcPr>
          <w:p w14:paraId="0DA50C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FE67D4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Locação de Veículo com Motorista (Diária/Van):</w:t>
            </w:r>
          </w:p>
        </w:tc>
        <w:tc>
          <w:tcPr>
            <w:tcW w:w="5505" w:type="dxa"/>
            <w:vAlign w:val="center"/>
            <w:hideMark/>
          </w:tcPr>
          <w:p w14:paraId="18603B9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locação de veículos com motorista é essencial para garantir a mobilidade dos colaboradores do CAU/AL em suas atividades externas, proporcionando segurança e comodidade nos deslocamentos.</w:t>
            </w:r>
          </w:p>
        </w:tc>
        <w:tc>
          <w:tcPr>
            <w:tcW w:w="1750" w:type="dxa"/>
            <w:vAlign w:val="center"/>
            <w:hideMark/>
          </w:tcPr>
          <w:p w14:paraId="3EDA2DC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4A370DD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44F40871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495C59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26" w:type="dxa"/>
            <w:vAlign w:val="center"/>
            <w:hideMark/>
          </w:tcPr>
          <w:p w14:paraId="10C98D7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1F43F74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Seguro de Vida para Conselheiros e Funcionários:</w:t>
            </w:r>
          </w:p>
        </w:tc>
        <w:tc>
          <w:tcPr>
            <w:tcW w:w="5505" w:type="dxa"/>
            <w:vAlign w:val="center"/>
            <w:hideMark/>
          </w:tcPr>
          <w:p w14:paraId="0D712BD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seguro de vida é uma medida importante para garantir a proteção e o bem-estar dos conselheiros e funcionários do CAU/AL, oferecendo suporte financeiro em casos de acidentes ou falecimento.</w:t>
            </w:r>
          </w:p>
        </w:tc>
        <w:tc>
          <w:tcPr>
            <w:tcW w:w="1750" w:type="dxa"/>
            <w:vAlign w:val="center"/>
            <w:hideMark/>
          </w:tcPr>
          <w:p w14:paraId="49ACA06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1" w:type="dxa"/>
            <w:noWrap/>
            <w:vAlign w:val="center"/>
            <w:hideMark/>
          </w:tcPr>
          <w:p w14:paraId="64E51F7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13215445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0F4C17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26" w:type="dxa"/>
            <w:vAlign w:val="center"/>
            <w:hideMark/>
          </w:tcPr>
          <w:p w14:paraId="28AE2FE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3D712DB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 de Lanches em Reuniões Oficiais:</w:t>
            </w:r>
          </w:p>
        </w:tc>
        <w:tc>
          <w:tcPr>
            <w:tcW w:w="5505" w:type="dxa"/>
            <w:vAlign w:val="center"/>
            <w:hideMark/>
          </w:tcPr>
          <w:p w14:paraId="39F40CD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oferta de lanches durante as reuniões plenárias é uma forma de garantir o conforto e a comodidade dos participantes, promovendo um ambiente propício para a discussão e deliberação de pautas importantes.</w:t>
            </w:r>
          </w:p>
        </w:tc>
        <w:tc>
          <w:tcPr>
            <w:tcW w:w="1750" w:type="dxa"/>
            <w:vAlign w:val="center"/>
            <w:hideMark/>
          </w:tcPr>
          <w:p w14:paraId="629E616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1" w:type="dxa"/>
            <w:noWrap/>
            <w:vAlign w:val="center"/>
            <w:hideMark/>
          </w:tcPr>
          <w:p w14:paraId="4ACF70A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5728BFC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00AA84E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26" w:type="dxa"/>
            <w:vAlign w:val="center"/>
            <w:hideMark/>
          </w:tcPr>
          <w:p w14:paraId="28B86CDA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4634BB1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Descarte de Documentos:</w:t>
            </w:r>
          </w:p>
        </w:tc>
        <w:tc>
          <w:tcPr>
            <w:tcW w:w="5505" w:type="dxa"/>
            <w:vAlign w:val="center"/>
            <w:hideMark/>
          </w:tcPr>
          <w:p w14:paraId="6FFB3DA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descarte de documentos é fundamental para garantir a gestão adequada dos arquivos do CAU/AL, promovendo a organização e a segurança das informações institucionais.</w:t>
            </w:r>
          </w:p>
        </w:tc>
        <w:tc>
          <w:tcPr>
            <w:tcW w:w="1750" w:type="dxa"/>
            <w:vAlign w:val="center"/>
            <w:hideMark/>
          </w:tcPr>
          <w:p w14:paraId="147950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0E791BB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1F7400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515110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  <w:hideMark/>
          </w:tcPr>
          <w:p w14:paraId="2DE5751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6CAEEA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Emissão de Passagens (Aéreas/Terrestres), com seguro viagem:</w:t>
            </w:r>
          </w:p>
        </w:tc>
        <w:tc>
          <w:tcPr>
            <w:tcW w:w="5505" w:type="dxa"/>
            <w:vAlign w:val="center"/>
            <w:hideMark/>
          </w:tcPr>
          <w:p w14:paraId="4231F540" w14:textId="1C279FAB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Esses serviços são essenciais para viabilizar deslocamentos de conselheiros e funcionários do CAU/AL em atividades externas, como participação em eventos, cursos e reuniões em outras localidades.</w:t>
            </w:r>
          </w:p>
        </w:tc>
        <w:tc>
          <w:tcPr>
            <w:tcW w:w="1750" w:type="dxa"/>
            <w:vAlign w:val="center"/>
            <w:hideMark/>
          </w:tcPr>
          <w:p w14:paraId="119A72C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0F5D4F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CA57D20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5560068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26" w:type="dxa"/>
            <w:vAlign w:val="center"/>
            <w:hideMark/>
          </w:tcPr>
          <w:p w14:paraId="5FE7A63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4E13E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Intermediação de Estágio:</w:t>
            </w:r>
          </w:p>
        </w:tc>
        <w:tc>
          <w:tcPr>
            <w:tcW w:w="5505" w:type="dxa"/>
            <w:vAlign w:val="center"/>
            <w:hideMark/>
          </w:tcPr>
          <w:p w14:paraId="601F6556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intermediação de estágios é importante para promover a inserção de estudantes de arquitetura e urbanismo no mercado de trabalho, além de contribuir para a formação de novos profissionais qualificados.</w:t>
            </w:r>
          </w:p>
        </w:tc>
        <w:tc>
          <w:tcPr>
            <w:tcW w:w="1750" w:type="dxa"/>
            <w:vAlign w:val="center"/>
            <w:hideMark/>
          </w:tcPr>
          <w:p w14:paraId="2F7F86E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4DD662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5644DF67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03BE17F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26" w:type="dxa"/>
            <w:vAlign w:val="center"/>
            <w:hideMark/>
          </w:tcPr>
          <w:p w14:paraId="2EAACC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69734B6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Limpeza com Fornecimento de Material:</w:t>
            </w:r>
          </w:p>
        </w:tc>
        <w:tc>
          <w:tcPr>
            <w:tcW w:w="5505" w:type="dxa"/>
            <w:vAlign w:val="center"/>
            <w:hideMark/>
          </w:tcPr>
          <w:p w14:paraId="072145AE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limpeza é essencial para garantir a higiene e a conservação das instalações do CAU/AL, proporcionando um ambiente de trabalho saudável e acolhedor.</w:t>
            </w:r>
          </w:p>
        </w:tc>
        <w:tc>
          <w:tcPr>
            <w:tcW w:w="1750" w:type="dxa"/>
            <w:vAlign w:val="center"/>
            <w:hideMark/>
          </w:tcPr>
          <w:p w14:paraId="227AD6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5C41757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CE2AEAA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B3B459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26" w:type="dxa"/>
            <w:vAlign w:val="center"/>
            <w:hideMark/>
          </w:tcPr>
          <w:p w14:paraId="1BE97D2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6773566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Manutenção de Ar-condicionado/Computadores:</w:t>
            </w:r>
          </w:p>
        </w:tc>
        <w:tc>
          <w:tcPr>
            <w:tcW w:w="5505" w:type="dxa"/>
            <w:vAlign w:val="center"/>
            <w:hideMark/>
          </w:tcPr>
          <w:p w14:paraId="4EC766D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manutenção regular de equipamentos como ar-condicionado e computadores é fundamental para garantir o seu bom funcionamento e prolongar sua vida útil, evitando assim prejuízos e interrupções nas atividades do CAU/AL.</w:t>
            </w:r>
          </w:p>
        </w:tc>
        <w:tc>
          <w:tcPr>
            <w:tcW w:w="1750" w:type="dxa"/>
            <w:vAlign w:val="center"/>
            <w:hideMark/>
          </w:tcPr>
          <w:p w14:paraId="52C13EBD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021" w:type="dxa"/>
            <w:noWrap/>
            <w:vAlign w:val="center"/>
            <w:hideMark/>
          </w:tcPr>
          <w:p w14:paraId="7EA64CF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2C198B69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F53860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26" w:type="dxa"/>
            <w:vAlign w:val="center"/>
            <w:hideMark/>
          </w:tcPr>
          <w:p w14:paraId="32488A7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23F4B04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Medicina do Trabalho:</w:t>
            </w:r>
          </w:p>
        </w:tc>
        <w:tc>
          <w:tcPr>
            <w:tcW w:w="5505" w:type="dxa"/>
            <w:vAlign w:val="center"/>
            <w:hideMark/>
          </w:tcPr>
          <w:p w14:paraId="7D1A69D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realização de serviços de medicina do trabalho é importante para garantir a saúde e o bem-estar dos colaboradores do CAU/AL, prevenindo doenças ocupacionais e promovendo um ambiente de trabalho seguro.</w:t>
            </w:r>
          </w:p>
        </w:tc>
        <w:tc>
          <w:tcPr>
            <w:tcW w:w="1750" w:type="dxa"/>
            <w:vAlign w:val="center"/>
            <w:hideMark/>
          </w:tcPr>
          <w:p w14:paraId="795BD1E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7F63A0B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620023FC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6B060998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26" w:type="dxa"/>
            <w:vAlign w:val="center"/>
            <w:hideMark/>
          </w:tcPr>
          <w:p w14:paraId="61AAECE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754E33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Monitoramento de Editais (Fiscalização):</w:t>
            </w:r>
          </w:p>
        </w:tc>
        <w:tc>
          <w:tcPr>
            <w:tcW w:w="5505" w:type="dxa"/>
            <w:vAlign w:val="center"/>
            <w:hideMark/>
          </w:tcPr>
          <w:p w14:paraId="541AA571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O monitoramento de editais é essencial para garantir a transparência e a lisura dos processos licitatórios realizados pelo CAU/AL, contribuindo para a eficiência na aplicação dos recursos públicos.</w:t>
            </w:r>
          </w:p>
        </w:tc>
        <w:tc>
          <w:tcPr>
            <w:tcW w:w="1750" w:type="dxa"/>
            <w:vAlign w:val="center"/>
            <w:hideMark/>
          </w:tcPr>
          <w:p w14:paraId="1D49C84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1CE03FE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157656A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3A7154B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26" w:type="dxa"/>
            <w:vAlign w:val="center"/>
            <w:hideMark/>
          </w:tcPr>
          <w:p w14:paraId="28CAAB1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02138D2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Publicidade e Propaganda:</w:t>
            </w:r>
          </w:p>
        </w:tc>
        <w:tc>
          <w:tcPr>
            <w:tcW w:w="5505" w:type="dxa"/>
            <w:vAlign w:val="center"/>
            <w:hideMark/>
          </w:tcPr>
          <w:p w14:paraId="431B7A58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publicidade e propaganda é fundamental para promover a imagem e as atividades do CAU/AL, divulgando seus serviços, eventos e ações para o público-alvo de forma eficaz e estratégica.</w:t>
            </w:r>
          </w:p>
        </w:tc>
        <w:tc>
          <w:tcPr>
            <w:tcW w:w="1750" w:type="dxa"/>
            <w:vAlign w:val="center"/>
            <w:hideMark/>
          </w:tcPr>
          <w:p w14:paraId="1031660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20A92ED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Acima de 150 dias</w:t>
            </w:r>
          </w:p>
        </w:tc>
      </w:tr>
      <w:tr w:rsidR="004C1C00" w:rsidRPr="004C1C00" w14:paraId="61EE8FBA" w14:textId="77777777" w:rsidTr="004C1C00">
        <w:trPr>
          <w:trHeight w:val="1153"/>
        </w:trPr>
        <w:tc>
          <w:tcPr>
            <w:tcW w:w="839" w:type="dxa"/>
            <w:noWrap/>
            <w:vAlign w:val="center"/>
            <w:hideMark/>
          </w:tcPr>
          <w:p w14:paraId="77E7242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  <w:hideMark/>
          </w:tcPr>
          <w:p w14:paraId="7961C93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377080D2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Recarga de Extintores:</w:t>
            </w:r>
          </w:p>
        </w:tc>
        <w:tc>
          <w:tcPr>
            <w:tcW w:w="5505" w:type="dxa"/>
            <w:vAlign w:val="center"/>
            <w:hideMark/>
          </w:tcPr>
          <w:p w14:paraId="720AC34A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recarga regular de extintores é fundamental para garantir a segurança das instalações do CAU/AL, prevenindo incêndios e protegendo os colaboradores e o patrimônio institucional.</w:t>
            </w:r>
          </w:p>
        </w:tc>
        <w:tc>
          <w:tcPr>
            <w:tcW w:w="1750" w:type="dxa"/>
            <w:vAlign w:val="center"/>
            <w:hideMark/>
          </w:tcPr>
          <w:p w14:paraId="21F2E7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21" w:type="dxa"/>
            <w:noWrap/>
            <w:vAlign w:val="center"/>
            <w:hideMark/>
          </w:tcPr>
          <w:p w14:paraId="34BA161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3DA4A241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180CB9D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26" w:type="dxa"/>
            <w:vAlign w:val="center"/>
            <w:hideMark/>
          </w:tcPr>
          <w:p w14:paraId="3B4192AB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DA47ABE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Telefonia Móvel:</w:t>
            </w:r>
          </w:p>
        </w:tc>
        <w:tc>
          <w:tcPr>
            <w:tcW w:w="5505" w:type="dxa"/>
            <w:vAlign w:val="center"/>
            <w:hideMark/>
          </w:tcPr>
          <w:p w14:paraId="0A05B5F3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telefonia é fundamental para garantir a comunicação interna e externa do CAU/AL, facilitando o contato entre os colaboradores, conselheiros e demais partes interessadas.</w:t>
            </w:r>
          </w:p>
        </w:tc>
        <w:tc>
          <w:tcPr>
            <w:tcW w:w="1750" w:type="dxa"/>
            <w:vAlign w:val="center"/>
            <w:hideMark/>
          </w:tcPr>
          <w:p w14:paraId="1821E67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021" w:type="dxa"/>
            <w:noWrap/>
            <w:vAlign w:val="center"/>
            <w:hideMark/>
          </w:tcPr>
          <w:p w14:paraId="1F348A26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4FBA02D4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6FF1784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26" w:type="dxa"/>
            <w:vAlign w:val="center"/>
            <w:hideMark/>
          </w:tcPr>
          <w:p w14:paraId="1D9FD50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17BCE914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Fotográficos para Eventos:</w:t>
            </w:r>
          </w:p>
        </w:tc>
        <w:tc>
          <w:tcPr>
            <w:tcW w:w="5505" w:type="dxa"/>
            <w:vAlign w:val="center"/>
            <w:hideMark/>
          </w:tcPr>
          <w:p w14:paraId="45467530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fotográficos é importante para registrar e documentar os eventos realizados pelo CAU/AL, gerando material visual que pode ser utilizado em relatórios, divulgação institucional e memória histórica.</w:t>
            </w:r>
          </w:p>
        </w:tc>
        <w:tc>
          <w:tcPr>
            <w:tcW w:w="1750" w:type="dxa"/>
            <w:vAlign w:val="center"/>
            <w:hideMark/>
          </w:tcPr>
          <w:p w14:paraId="3B0A92D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6EDA81F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672DE288" w14:textId="77777777" w:rsidTr="004C1C00">
        <w:trPr>
          <w:trHeight w:val="1441"/>
        </w:trPr>
        <w:tc>
          <w:tcPr>
            <w:tcW w:w="839" w:type="dxa"/>
            <w:noWrap/>
            <w:vAlign w:val="center"/>
            <w:hideMark/>
          </w:tcPr>
          <w:p w14:paraId="2E0B6E23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26" w:type="dxa"/>
            <w:vAlign w:val="center"/>
            <w:hideMark/>
          </w:tcPr>
          <w:p w14:paraId="078CF681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Consultoria e Assessoria</w:t>
            </w:r>
          </w:p>
        </w:tc>
        <w:tc>
          <w:tcPr>
            <w:tcW w:w="2792" w:type="dxa"/>
            <w:noWrap/>
            <w:vAlign w:val="center"/>
            <w:hideMark/>
          </w:tcPr>
          <w:p w14:paraId="45D978C5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assessoria e treinamento na nova lei de licitações - 14.133</w:t>
            </w:r>
          </w:p>
        </w:tc>
        <w:tc>
          <w:tcPr>
            <w:tcW w:w="5505" w:type="dxa"/>
            <w:vAlign w:val="center"/>
            <w:hideMark/>
          </w:tcPr>
          <w:p w14:paraId="42FB0977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 xml:space="preserve">A contratação de serviços de assessoria e consultoria sobre a nova lei de licitações trará as </w:t>
            </w:r>
            <w:proofErr w:type="spellStart"/>
            <w:r w:rsidRPr="004C1C00">
              <w:rPr>
                <w:rFonts w:ascii="Times New Roman" w:hAnsi="Times New Roman"/>
                <w:sz w:val="20"/>
                <w:szCs w:val="20"/>
              </w:rPr>
              <w:t>serviudores</w:t>
            </w:r>
            <w:proofErr w:type="spellEnd"/>
            <w:r w:rsidRPr="004C1C00">
              <w:rPr>
                <w:rFonts w:ascii="Times New Roman" w:hAnsi="Times New Roman"/>
                <w:sz w:val="20"/>
                <w:szCs w:val="20"/>
              </w:rPr>
              <w:t xml:space="preserve"> do CAU/AL um melhor entendimento sobre os procedimentos a serem adotados nas contratações a serem realizadas pelo CAU/AL.</w:t>
            </w:r>
          </w:p>
        </w:tc>
        <w:tc>
          <w:tcPr>
            <w:tcW w:w="1750" w:type="dxa"/>
            <w:vAlign w:val="center"/>
            <w:hideMark/>
          </w:tcPr>
          <w:p w14:paraId="33A6E349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1BECD18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  <w:tr w:rsidR="004C1C00" w:rsidRPr="004C1C00" w14:paraId="0A22E8A1" w14:textId="77777777" w:rsidTr="004C1C00">
        <w:trPr>
          <w:trHeight w:val="1730"/>
        </w:trPr>
        <w:tc>
          <w:tcPr>
            <w:tcW w:w="839" w:type="dxa"/>
            <w:noWrap/>
            <w:vAlign w:val="center"/>
            <w:hideMark/>
          </w:tcPr>
          <w:p w14:paraId="66585CBC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26" w:type="dxa"/>
            <w:vAlign w:val="center"/>
            <w:hideMark/>
          </w:tcPr>
          <w:p w14:paraId="66EA96A0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Diversos</w:t>
            </w:r>
          </w:p>
        </w:tc>
        <w:tc>
          <w:tcPr>
            <w:tcW w:w="2792" w:type="dxa"/>
            <w:noWrap/>
            <w:vAlign w:val="center"/>
            <w:hideMark/>
          </w:tcPr>
          <w:p w14:paraId="50A15B6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Serviços de Apoio em Eventos (Recepcionista/Local/Transmissão/Som/Buffet):</w:t>
            </w:r>
          </w:p>
        </w:tc>
        <w:tc>
          <w:tcPr>
            <w:tcW w:w="5505" w:type="dxa"/>
            <w:vAlign w:val="center"/>
            <w:hideMark/>
          </w:tcPr>
          <w:p w14:paraId="593C721B" w14:textId="77777777" w:rsidR="004C1C00" w:rsidRPr="004C1C00" w:rsidRDefault="004C1C00" w:rsidP="004C1C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 contratação de serviços de apoio em eventos é fundamental para garantir o bom andamento das atividades, proporcionando conforto e organização aos participantes, além de assegurar a qualidade técnica de aspectos como sonorização e transmissão.</w:t>
            </w:r>
          </w:p>
        </w:tc>
        <w:tc>
          <w:tcPr>
            <w:tcW w:w="1750" w:type="dxa"/>
            <w:vAlign w:val="center"/>
            <w:hideMark/>
          </w:tcPr>
          <w:p w14:paraId="7EF26107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  <w:noWrap/>
            <w:vAlign w:val="center"/>
            <w:hideMark/>
          </w:tcPr>
          <w:p w14:paraId="018C9AFF" w14:textId="77777777" w:rsidR="004C1C00" w:rsidRPr="004C1C00" w:rsidRDefault="004C1C00" w:rsidP="004C1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00">
              <w:rPr>
                <w:rFonts w:ascii="Times New Roman" w:hAnsi="Times New Roman"/>
                <w:sz w:val="20"/>
                <w:szCs w:val="20"/>
              </w:rPr>
              <w:t>Até 90 dias</w:t>
            </w:r>
          </w:p>
        </w:tc>
      </w:tr>
    </w:tbl>
    <w:p w14:paraId="11B2D832" w14:textId="77777777" w:rsidR="004C1C00" w:rsidRPr="004C1C00" w:rsidRDefault="004C1C00" w:rsidP="00E00836">
      <w:pPr>
        <w:jc w:val="center"/>
        <w:rPr>
          <w:rFonts w:ascii="Times New Roman" w:hAnsi="Times New Roman"/>
          <w:sz w:val="20"/>
          <w:szCs w:val="20"/>
        </w:rPr>
      </w:pPr>
    </w:p>
    <w:sectPr w:rsidR="004C1C00" w:rsidRPr="004C1C00" w:rsidSect="003C1A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6B4" w14:textId="77777777" w:rsidR="00ED1911" w:rsidRDefault="00ED1911" w:rsidP="001527A9">
      <w:r>
        <w:separator/>
      </w:r>
    </w:p>
  </w:endnote>
  <w:endnote w:type="continuationSeparator" w:id="0">
    <w:p w14:paraId="0DDA2008" w14:textId="77777777" w:rsidR="00ED1911" w:rsidRDefault="00ED1911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210557274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1160873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09FB" w14:textId="77777777" w:rsidR="00ED1911" w:rsidRDefault="00ED1911" w:rsidP="001527A9">
      <w:r>
        <w:separator/>
      </w:r>
    </w:p>
  </w:footnote>
  <w:footnote w:type="continuationSeparator" w:id="0">
    <w:p w14:paraId="5B22A47F" w14:textId="77777777" w:rsidR="00ED1911" w:rsidRDefault="00ED1911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27553674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43E9B"/>
    <w:rsid w:val="0005354A"/>
    <w:rsid w:val="00094632"/>
    <w:rsid w:val="000A3B0E"/>
    <w:rsid w:val="0013221E"/>
    <w:rsid w:val="001367E3"/>
    <w:rsid w:val="001527A9"/>
    <w:rsid w:val="001F1397"/>
    <w:rsid w:val="002372B0"/>
    <w:rsid w:val="002E4D2C"/>
    <w:rsid w:val="002F03F1"/>
    <w:rsid w:val="00364616"/>
    <w:rsid w:val="00366924"/>
    <w:rsid w:val="00373550"/>
    <w:rsid w:val="003C1A70"/>
    <w:rsid w:val="00407A19"/>
    <w:rsid w:val="0041589D"/>
    <w:rsid w:val="004267D3"/>
    <w:rsid w:val="004C1C00"/>
    <w:rsid w:val="00503192"/>
    <w:rsid w:val="00636A34"/>
    <w:rsid w:val="00656CF3"/>
    <w:rsid w:val="00687564"/>
    <w:rsid w:val="006B7A96"/>
    <w:rsid w:val="00743AC3"/>
    <w:rsid w:val="00781297"/>
    <w:rsid w:val="007C4A48"/>
    <w:rsid w:val="007D67E0"/>
    <w:rsid w:val="00806F7F"/>
    <w:rsid w:val="008464AF"/>
    <w:rsid w:val="008A6E52"/>
    <w:rsid w:val="008E4C0F"/>
    <w:rsid w:val="008E75D2"/>
    <w:rsid w:val="00905B5C"/>
    <w:rsid w:val="0093190B"/>
    <w:rsid w:val="009E6C11"/>
    <w:rsid w:val="00A70617"/>
    <w:rsid w:val="00A73D6D"/>
    <w:rsid w:val="00A95FDC"/>
    <w:rsid w:val="00AE080C"/>
    <w:rsid w:val="00BE4900"/>
    <w:rsid w:val="00C346AF"/>
    <w:rsid w:val="00CF16A7"/>
    <w:rsid w:val="00D375E8"/>
    <w:rsid w:val="00D53285"/>
    <w:rsid w:val="00D86B4C"/>
    <w:rsid w:val="00D93FE9"/>
    <w:rsid w:val="00E00836"/>
    <w:rsid w:val="00E13057"/>
    <w:rsid w:val="00E172D5"/>
    <w:rsid w:val="00E2485E"/>
    <w:rsid w:val="00E410B7"/>
    <w:rsid w:val="00EB5F1C"/>
    <w:rsid w:val="00ED1911"/>
    <w:rsid w:val="00F0226E"/>
    <w:rsid w:val="00F12F26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86B4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3</cp:revision>
  <cp:lastPrinted>2024-04-04T16:07:00Z</cp:lastPrinted>
  <dcterms:created xsi:type="dcterms:W3CDTF">2024-03-12T16:23:00Z</dcterms:created>
  <dcterms:modified xsi:type="dcterms:W3CDTF">2024-04-04T16:07:00Z</dcterms:modified>
</cp:coreProperties>
</file>