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090"/>
      </w:tblGrid>
      <w:tr>
        <w:trPr>
          <w:trHeight w:val="444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Protocolo SICCAU </w:t>
            </w:r>
            <w:r>
              <w:rPr>
                <w:rFonts w:ascii="Times New Roman" w:hAnsi="Times New Roman"/>
                <w:sz w:val="24"/>
                <w:szCs w:val="24"/>
                <w:shd w:fill="auto" w:val="clear"/>
              </w:rPr>
              <w:t>1587674/2022, 1583678/2022, 1591504/2022, 1586694/2022, 1581965/2022, 1592600/2022, 1591343/2022, 1576323/2022</w:t>
            </w:r>
          </w:p>
        </w:tc>
      </w:tr>
      <w:tr>
        <w:trPr>
          <w:trHeight w:val="421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Egressos do Centro Universitário Tiradentes</w:t>
            </w:r>
          </w:p>
        </w:tc>
      </w:tr>
      <w:tr>
        <w:trPr>
          <w:trHeight w:val="413" w:hRule="atLeast"/>
        </w:trPr>
        <w:tc>
          <w:tcPr>
            <w:tcW w:w="19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481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Solicitação de Registro Profissional</w:t>
            </w:r>
          </w:p>
        </w:tc>
      </w:tr>
      <w:tr>
        <w:trPr>
          <w:trHeight w:val="419" w:hRule="atLeast"/>
        </w:trPr>
        <w:tc>
          <w:tcPr>
            <w:tcW w:w="90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DELIBERAÇÃO N° 067-2022 CEF-CAU/AL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ENSINO E FORMAÇÃO – CEF-CAU/AL reunida ordinariamente por meio de videoconferência no dia 18 de agosto de 2022, no uso das competências que lhe conferem o </w:t>
      </w:r>
      <w:r>
        <w:rPr>
          <w:rFonts w:eastAsia="Times New Roman" w:ascii="Times New Roman" w:hAnsi="Times New Roman"/>
          <w:bCs/>
          <w:lang w:eastAsia="pt-BR"/>
        </w:rPr>
        <w:t xml:space="preserve">Art. 43 </w:t>
      </w:r>
      <w:r>
        <w:rPr>
          <w:rFonts w:ascii="Times New Roman" w:hAnsi="Times New Roman"/>
        </w:rPr>
        <w:t>do Regimento Interno do CAU/AL, após análise do assunto em epígrafe;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Art. 5º da Lei 12.378/2010 que determina que “Para uso do título de arquiteto e urbanista e para o exercício das atividades privativas correspondentes, é obrigatório o registro profissional no CAU do Estado ou do Distrito Federal”;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5º, que determina o prazo de validade e condições para o registro provisório e definitivo;</w:t>
      </w:r>
    </w:p>
    <w:p>
      <w:pPr>
        <w:pStyle w:val="Normal"/>
        <w:jc w:val="both"/>
        <w:rPr>
          <w:rFonts w:ascii="Times New Roman" w:hAnsi="Times New Roman" w:eastAsia="Times New Roman"/>
          <w:b/>
          <w:b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7°, que determina que apresentado o requerimento de registro profissional devidamente instruído, este deverá ser encaminhado à Comissão Permanente de Ensino e Formação do CAU/AL para apreciação;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as disposições da Resolução n° 18, especialmente seu artigo 7° parágrafo único, que determina a concessão do registro após sua aprovação pela Comissão Permanente de Ensino e Formação do CAU/AL, respeitados os procedimentos para esse fim;</w:t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eastAsia="Times New Roman" w:ascii="Times New Roman" w:hAnsi="Times New Roman"/>
          <w:bCs/>
          <w:lang w:eastAsia="pt-BR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lang w:eastAsia="pt-BR"/>
        </w:rPr>
        <w:t>Considerando</w:t>
      </w:r>
      <w:r>
        <w:rPr>
          <w:rFonts w:eastAsia="Times New Roman" w:ascii="Times New Roman" w:hAnsi="Times New Roman"/>
          <w:bCs/>
          <w:lang w:eastAsia="pt-BR"/>
        </w:rPr>
        <w:t xml:space="preserve"> Deliberação CEF-CAU/BR nº 043/2018 que reitera que somente poderão ser registrados os egressos de cursos de graduação em Arquitetura e Urbanismo que tenham portaria de reconhecimento do curso publicada ou cálculo de tempestividade aprovado pela CEF-CAU/BR, e que estejam em dia com as renovações de reconhecimento e aprova o resultado do cálculo de tempestividade para o </w:t>
      </w:r>
      <w:r>
        <w:rPr>
          <w:rFonts w:ascii="Times New Roman" w:hAnsi="Times New Roman"/>
        </w:rPr>
        <w:t>Centro Universitário Tiradentes;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/>
          <w:bCs/>
          <w:lang w:eastAsia="pt-BR"/>
        </w:rPr>
      </w:pPr>
      <w:r>
        <w:rPr>
          <w:rFonts w:ascii="Times New Roman" w:hAnsi="Times New Roman"/>
          <w:b/>
        </w:rPr>
        <w:t xml:space="preserve">Considerando </w:t>
      </w:r>
      <w:r>
        <w:rPr>
          <w:rFonts w:ascii="Times New Roman" w:hAnsi="Times New Roman"/>
        </w:rPr>
        <w:t>a portaria MEC nº 542, de 03 de dezembro de 2020 de reconhecimento do curso;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DELIBERA: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1 – Deferir o requerimento de registro DEFINITIVO dos egressos do Centro Universitário Tiradentes abaixo listados, com o título de Arquiteta e Urbanista e atribuições previstas no artigo 2º da Lei 12.378/2010, para o desempenho das atividades nele relacionadas.</w:t>
      </w:r>
    </w:p>
    <w:p>
      <w:pPr>
        <w:pStyle w:val="BodyText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comgrade"/>
        <w:tblW w:w="907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288" w:hRule="atLeast"/>
        </w:trPr>
        <w:tc>
          <w:tcPr>
            <w:tcW w:w="2268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CPF</w:t>
            </w:r>
          </w:p>
        </w:tc>
        <w:tc>
          <w:tcPr>
            <w:tcW w:w="6803" w:type="dxa"/>
            <w:tcBorders/>
          </w:tcPr>
          <w:p>
            <w:pPr>
              <w:pStyle w:val="BodyText2"/>
              <w:widowControl w:val="false"/>
              <w:suppressAutoHyphens w:val="true"/>
              <w:spacing w:before="0" w:after="0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kern w:val="0"/>
                <w:sz w:val="24"/>
                <w:szCs w:val="24"/>
                <w:lang w:val="pt-BR" w:bidi="ar-SA"/>
              </w:rPr>
              <w:t>Nome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.542.364-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ANA KARLA LIMA DA SILVA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.105.394-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ANELISE BOMFIM FRANÇA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.563.664-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JULIANA ALVARENGA MARQUES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.993.734-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MARÍLIA BARBOSA PRADO PINHEIRO MENDONÇA</w:t>
            </w:r>
          </w:p>
        </w:tc>
      </w:tr>
      <w:tr>
        <w:trPr>
          <w:trHeight w:val="288" w:hRule="atLeast"/>
        </w:trPr>
        <w:tc>
          <w:tcPr>
            <w:tcW w:w="2268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.932.874-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PAULINE CARVALHO MARQUES DOS ANJOS</w:t>
            </w:r>
          </w:p>
        </w:tc>
      </w:tr>
      <w:tr>
        <w:trPr>
          <w:trHeight w:val="288" w:hRule="atLeast"/>
        </w:trPr>
        <w:tc>
          <w:tcPr>
            <w:tcW w:w="2268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.173.611-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RAYANE CRISTINA PACHECO LINO</w:t>
            </w:r>
          </w:p>
        </w:tc>
      </w:tr>
      <w:tr>
        <w:trPr>
          <w:trHeight w:val="288" w:hRule="atLeast"/>
        </w:trPr>
        <w:tc>
          <w:tcPr>
            <w:tcW w:w="2268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.877.134-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>
              <w:top w:val="nil"/>
            </w:tcBorders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ROSANNA CARLA CAVALCANTE DE SOUZA</w:t>
            </w:r>
          </w:p>
        </w:tc>
      </w:tr>
      <w:tr>
        <w:trPr>
          <w:trHeight w:val="288" w:hRule="atLeast"/>
        </w:trPr>
        <w:tc>
          <w:tcPr>
            <w:tcW w:w="2268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***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.686.214-</w:t>
            </w: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**</w:t>
            </w:r>
          </w:p>
        </w:tc>
        <w:tc>
          <w:tcPr>
            <w:tcW w:w="6803" w:type="dxa"/>
            <w:tcBorders/>
            <w:vAlign w:val="bottom"/>
          </w:tcPr>
          <w:p>
            <w:pPr>
              <w:pStyle w:val="Contedodatabela"/>
              <w:widowControl w:val="false"/>
              <w:suppressAutoHyphens w:val="true"/>
              <w:spacing w:before="0" w:after="0"/>
              <w:jc w:val="left"/>
              <w:rPr>
                <w:rFonts w:eastAsia="MS Mincho" w:cs="Times New Roman"/>
                <w:kern w:val="0"/>
                <w:sz w:val="24"/>
                <w:szCs w:val="24"/>
                <w:lang w:val="pt-BR" w:eastAsia="pt-BR" w:bidi="ar-SA"/>
              </w:rPr>
            </w:pPr>
            <w:r>
              <w:rPr>
                <w:rFonts w:eastAsia="MS Mincho" w:cs="Times New Roman" w:ascii="Times New Roman" w:hAnsi="Times New Roman"/>
                <w:color w:val="000000"/>
                <w:kern w:val="0"/>
                <w:sz w:val="24"/>
                <w:szCs w:val="24"/>
                <w:lang w:val="pt-BR" w:eastAsia="pt-BR" w:bidi="ar-SA"/>
              </w:rPr>
              <w:t>VICTÓRIA MARIA BUIQUE HONORATO</w:t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/>
          <w:color w:val="000000" w:themeColor="text1"/>
        </w:rPr>
      </w:pPr>
      <w:r>
        <w:rPr>
          <w:rFonts w:eastAsia="Times New Roman" w:ascii="Times New Roman" w:hAnsi="Times New Roman"/>
          <w:color w:val="000000" w:themeColor="text1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Com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02 votos favoráveis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das conselheiras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50505"/>
          <w:spacing w:val="0"/>
          <w:sz w:val="24"/>
          <w:szCs w:val="24"/>
        </w:rPr>
        <w:t>Paula Regina Vieira Zacarias</w:t>
      </w:r>
      <w:r>
        <w:rPr>
          <w:rFonts w:eastAsia="Times New Roman" w:ascii="Times New Roman" w:hAnsi="Times New Roman"/>
          <w:b w:val="false"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Simone Rachel Lopes Moura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 xml:space="preserve">00 voto contrário, 00 abstenção </w:t>
      </w:r>
      <w:r>
        <w:rPr>
          <w:rFonts w:eastAsia="Times New Roman" w:ascii="Times New Roman" w:hAnsi="Times New Roman"/>
          <w:color w:val="000000" w:themeColor="text1"/>
          <w:sz w:val="24"/>
          <w:szCs w:val="24"/>
        </w:rPr>
        <w:t xml:space="preserve">e </w:t>
      </w: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</w:rPr>
        <w:t>01 ausência.</w:t>
      </w:r>
    </w:p>
    <w:p>
      <w:pPr>
        <w:pStyle w:val="BodyText2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BodyText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Maceió-AL, 18 de agosto de 2022.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PAULA REGINA VIEIRA ZACARIAS 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Coordenadora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50505"/>
          <w:spacing w:val="0"/>
          <w:sz w:val="24"/>
          <w:szCs w:val="24"/>
        </w:rPr>
        <w:t>LETÍCIA BRAYNER RAMALHO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Membro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SIMONE RACHEL LOPES MOURA___________________________________________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Membro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134" w:gutter="0" w:header="709" w:top="1418" w:footer="709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-1173480</wp:posOffset>
          </wp:positionH>
          <wp:positionV relativeFrom="paragraph">
            <wp:posOffset>-114300</wp:posOffset>
          </wp:positionV>
          <wp:extent cx="7610475" cy="476250"/>
          <wp:effectExtent l="0" t="0" r="0" b="0"/>
          <wp:wrapNone/>
          <wp:docPr id="4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0" b="0"/>
          <wp:wrapNone/>
          <wp:docPr id="1" name="WordPictureWatermar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2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-1165860</wp:posOffset>
          </wp:positionH>
          <wp:positionV relativeFrom="margin">
            <wp:posOffset>-1021080</wp:posOffset>
          </wp:positionV>
          <wp:extent cx="7675880" cy="922020"/>
          <wp:effectExtent l="0" t="0" r="0" b="0"/>
          <wp:wrapSquare wrapText="bothSides"/>
          <wp:docPr id="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23aaf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e4fdd"/>
    <w:rPr/>
  </w:style>
  <w:style w:type="character" w:styleId="RodapChar" w:customStyle="1">
    <w:name w:val="Rodapé Char"/>
    <w:basedOn w:val="DefaultParagraphFont"/>
    <w:uiPriority w:val="99"/>
    <w:qFormat/>
    <w:rsid w:val="00ee4fdd"/>
    <w:rPr/>
  </w:style>
  <w:style w:type="character" w:styleId="LinkdaInternet">
    <w:name w:val="Hyperlink"/>
    <w:uiPriority w:val="99"/>
    <w:unhideWhenUsed/>
    <w:rsid w:val="009c42f3"/>
    <w:rPr>
      <w:color w:val="0000FF"/>
      <w:u w:val="single"/>
    </w:rPr>
  </w:style>
  <w:style w:type="character" w:styleId="Highlight" w:customStyle="1">
    <w:name w:val="highlight"/>
    <w:qFormat/>
    <w:rsid w:val="00fd411d"/>
    <w:rPr/>
  </w:style>
  <w:style w:type="character" w:styleId="Appleconvertedspace" w:customStyle="1">
    <w:name w:val="apple-converted-space"/>
    <w:qFormat/>
    <w:rsid w:val="00fd411d"/>
    <w:rPr/>
  </w:style>
  <w:style w:type="character" w:styleId="Strong">
    <w:name w:val="Strong"/>
    <w:uiPriority w:val="22"/>
    <w:qFormat/>
    <w:rsid w:val="006b2379"/>
    <w:rPr>
      <w:b/>
      <w:bCs/>
    </w:rPr>
  </w:style>
  <w:style w:type="character" w:styleId="CorpodetextoChar" w:customStyle="1">
    <w:name w:val="Corpo de texto Char"/>
    <w:semiHidden/>
    <w:qFormat/>
    <w:rsid w:val="00417bda"/>
    <w:rPr>
      <w:rFonts w:ascii="Times New Roman" w:hAnsi="Times New Roman" w:eastAsia="Times New Roman"/>
      <w:b/>
      <w:sz w:val="28"/>
    </w:rPr>
  </w:style>
  <w:style w:type="character" w:styleId="Corpodetexto2Char" w:customStyle="1">
    <w:name w:val="Corpo de texto 2 Char"/>
    <w:link w:val="BodyText2"/>
    <w:semiHidden/>
    <w:qFormat/>
    <w:rsid w:val="00417bda"/>
    <w:rPr>
      <w:rFonts w:ascii="Times New Roman" w:hAnsi="Times New Roman" w:eastAsia="Times New Roman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45564"/>
    <w:rPr>
      <w:rFonts w:ascii="Segoe UI" w:hAnsi="Segoe UI" w:cs="Segoe UI"/>
      <w:sz w:val="18"/>
      <w:szCs w:val="18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semiHidden/>
    <w:rsid w:val="00417bda"/>
    <w:pPr>
      <w:jc w:val="center"/>
    </w:pPr>
    <w:rPr>
      <w:rFonts w:ascii="Times New Roman" w:hAnsi="Times New Roman" w:eastAsia="Times New Roman"/>
      <w:b/>
      <w:sz w:val="28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Ecxmsonormal" w:customStyle="1">
    <w:name w:val="ecxmsonormal"/>
    <w:basedOn w:val="Normal"/>
    <w:qFormat/>
    <w:rsid w:val="007b4ca8"/>
    <w:pPr>
      <w:spacing w:beforeAutospacing="1" w:afterAutospacing="1"/>
    </w:pPr>
    <w:rPr>
      <w:rFonts w:ascii="Times New Roman" w:hAnsi="Times New Roman" w:eastAsia="Times New Roman"/>
      <w:lang w:eastAsia="pt-BR"/>
    </w:rPr>
  </w:style>
  <w:style w:type="paragraph" w:styleId="ListParagraph">
    <w:name w:val="List Paragraph"/>
    <w:basedOn w:val="Normal"/>
    <w:uiPriority w:val="34"/>
    <w:qFormat/>
    <w:rsid w:val="00952cb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BodyText2">
    <w:name w:val="Body Text 2"/>
    <w:basedOn w:val="Normal"/>
    <w:link w:val="Corpodetexto2Char"/>
    <w:semiHidden/>
    <w:qFormat/>
    <w:rsid w:val="00417bda"/>
    <w:pPr>
      <w:jc w:val="both"/>
    </w:pPr>
    <w:rPr>
      <w:rFonts w:ascii="Times New Roman" w:hAnsi="Times New Roman"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f872fe"/>
    <w:pPr/>
    <w:rPr>
      <w:rFonts w:ascii="Times New Roman" w:hAnsi="Times New Roma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45564"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915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LibreOffice/7.4.1.2$Windows_X86_64 LibreOffice_project/3c58a8f3a960df8bc8fd77b461821e42c061c5f0</Application>
  <AppVersion>15.0000</AppVersion>
  <Pages>2</Pages>
  <Words>408</Words>
  <Characters>2601</Characters>
  <CharactersWithSpaces>2969</CharactersWithSpaces>
  <Paragraphs>42</Paragraphs>
  <Company>Comunica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2019-04-23T21:31:00Z</dcterms:created>
  <dc:creator>Paula Vianna</dc:creator>
  <dc:description/>
  <dc:language>pt-BR</dc:language>
  <cp:lastModifiedBy/>
  <cp:lastPrinted>2018-01-19T16:46:00Z</cp:lastPrinted>
  <dcterms:modified xsi:type="dcterms:W3CDTF">2022-09-20T18:42:26Z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