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1592219/2022, 1592203/2022, 1592230/2022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Egressos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065-2022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014/2020 que informa que nos casos de cálculo de prazo para protocolo do pedido de reconhecimento intempestivo, autoriza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 e autoriza o registro provisório dos egressos do </w:t>
      </w:r>
      <w:r>
        <w:rPr>
          <w:rFonts w:ascii="Times New Roman" w:hAnsi="Times New Roman"/>
          <w:bCs/>
        </w:rPr>
        <w:t>Centro Universitário Maurício de Nassau de Maceió;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PROVISÓRIO dos egressos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***.307.234-**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ALICE GENAURA AGUSTINHO DOS SANTOS BARBOSA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***.243.114-**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THALITA EUGENIO DA SILVA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***.312.714-**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VANESSA CRISTINA DOS SANTOS FERREIRA MATIAS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LibreOffice/7.3.5.2$Windows_X86_64 LibreOffice_project/184fe81b8c8c30d8b5082578aee2fed2ea847c01</Application>
  <AppVersion>15.0000</AppVersion>
  <Pages>2</Pages>
  <Words>493</Words>
  <Characters>2982</Characters>
  <CharactersWithSpaces>3446</CharactersWithSpaces>
  <Paragraphs>33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2020-03-25T19:53:00Z</dcterms:created>
  <dc:creator>Paula Vianna</dc:creator>
  <dc:description/>
  <dc:language>pt-BR</dc:language>
  <cp:lastModifiedBy/>
  <cp:lastPrinted>2021-03-26T18:56:00Z</cp:lastPrinted>
  <dcterms:modified xsi:type="dcterms:W3CDTF">2022-08-19T11:57:46Z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