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7777777" w:rsidR="005E7BA9" w:rsidRPr="00E21D26" w:rsidRDefault="005E7BA9" w:rsidP="00FC7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C73A9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77777777" w:rsidR="005E7BA9" w:rsidRPr="002C6094" w:rsidRDefault="005E7BA9" w:rsidP="00FC73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Seleção Pública Simplificada n. 0X/2022 ATHIS DPE/AL – Maceió e região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>
              <w:rPr>
                <w:rFonts w:ascii="Times New Roman" w:hAnsi="Times New Roman"/>
              </w:rPr>
              <w:t xml:space="preserve"> DPOAL Nº 0115-05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22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0401A82A" w14:textId="77777777" w:rsidR="005E7BA9" w:rsidRPr="00797D84" w:rsidRDefault="005E7BA9" w:rsidP="005E7BA9">
      <w:pPr>
        <w:jc w:val="both"/>
        <w:rPr>
          <w:rFonts w:ascii="Times New Roman" w:hAnsi="Times New Roman"/>
          <w:lang w:eastAsia="pt-BR"/>
        </w:rPr>
      </w:pPr>
      <w:r w:rsidRPr="00797D84">
        <w:rPr>
          <w:rFonts w:ascii="Times New Roman" w:hAnsi="Times New Roman"/>
        </w:rPr>
        <w:t xml:space="preserve">O PLENÁRIO DO CONSELHO DE ARQUITETURA E URBANISMO DE ALAGOAS – CAU/AL, </w:t>
      </w:r>
      <w:r w:rsidRPr="00797D84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00797D84">
        <w:rPr>
          <w:rFonts w:ascii="Times New Roman" w:eastAsia="Times New Roman" w:hAnsi="Times New Roman"/>
          <w:lang w:eastAsia="pt-BR"/>
        </w:rPr>
        <w:t xml:space="preserve">Art. 9 </w:t>
      </w:r>
      <w:r w:rsidRPr="00797D84">
        <w:rPr>
          <w:rFonts w:ascii="Times New Roman" w:hAnsi="Times New Roman"/>
          <w:lang w:eastAsia="pt-BR"/>
        </w:rPr>
        <w:t xml:space="preserve">do Regimento Interno do CAU/AL reunido ordinariamente por meio de videoconferência no dia </w:t>
      </w:r>
      <w:r>
        <w:rPr>
          <w:rFonts w:ascii="Times New Roman" w:hAnsi="Times New Roman"/>
          <w:lang w:eastAsia="pt-BR"/>
        </w:rPr>
        <w:t>29</w:t>
      </w:r>
      <w:r w:rsidRPr="00797D8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setembro</w:t>
      </w:r>
      <w:r w:rsidRPr="00797D84">
        <w:rPr>
          <w:rFonts w:ascii="Times New Roman" w:hAnsi="Times New Roman"/>
          <w:lang w:eastAsia="pt-BR"/>
        </w:rPr>
        <w:t xml:space="preserve"> de 20</w:t>
      </w:r>
      <w:r>
        <w:rPr>
          <w:rFonts w:ascii="Times New Roman" w:hAnsi="Times New Roman"/>
          <w:lang w:eastAsia="pt-BR"/>
        </w:rPr>
        <w:t>22</w:t>
      </w:r>
      <w:r w:rsidRPr="00797D84">
        <w:rPr>
          <w:rFonts w:ascii="Times New Roman" w:hAnsi="Times New Roman"/>
          <w:lang w:eastAsia="pt-BR"/>
        </w:rPr>
        <w:t>, após análise do assunto em epígrafe,</w:t>
      </w:r>
    </w:p>
    <w:p w14:paraId="4E9CFB0B" w14:textId="77777777" w:rsidR="005E7BA9" w:rsidRPr="00797D84" w:rsidRDefault="005E7BA9" w:rsidP="005E7BA9">
      <w:pPr>
        <w:jc w:val="both"/>
        <w:rPr>
          <w:rFonts w:ascii="Times New Roman" w:hAnsi="Times New Roman"/>
          <w:lang w:eastAsia="pt-BR"/>
        </w:rPr>
      </w:pPr>
    </w:p>
    <w:p w14:paraId="7757C024" w14:textId="77777777" w:rsidR="005E7BA9" w:rsidRDefault="005E7BA9" w:rsidP="005E7BA9">
      <w:pPr>
        <w:pStyle w:val="Default"/>
        <w:jc w:val="both"/>
        <w:rPr>
          <w:rFonts w:ascii="Times New Roman" w:hAnsi="Times New Roman" w:cs="Times New Roman"/>
        </w:rPr>
      </w:pPr>
      <w:r w:rsidRPr="001D4FE5">
        <w:rPr>
          <w:rFonts w:ascii="Times New Roman" w:hAnsi="Times New Roman" w:cs="Times New Roman"/>
          <w:b/>
        </w:rPr>
        <w:t>Considerando</w:t>
      </w:r>
      <w:r w:rsidRPr="00BE754F">
        <w:rPr>
          <w:rFonts w:ascii="Times New Roman" w:hAnsi="Times New Roman" w:cs="Times New Roman"/>
        </w:rPr>
        <w:t xml:space="preserve"> os princípios da legalidade, da publicidade, da moralidade, da impessoalidade e da</w:t>
      </w:r>
      <w:r>
        <w:rPr>
          <w:rFonts w:ascii="Times New Roman" w:hAnsi="Times New Roman" w:cs="Times New Roman"/>
        </w:rPr>
        <w:t xml:space="preserve"> </w:t>
      </w:r>
      <w:r w:rsidRPr="00BE754F">
        <w:rPr>
          <w:rFonts w:ascii="Times New Roman" w:hAnsi="Times New Roman" w:cs="Times New Roman"/>
        </w:rPr>
        <w:t>eficiência, conforme dicção do artigo 37, caput, da Constituição Federal;</w:t>
      </w:r>
    </w:p>
    <w:p w14:paraId="7C731B89" w14:textId="77777777" w:rsidR="005E7BA9" w:rsidRDefault="005E7BA9" w:rsidP="005E7BA9">
      <w:pPr>
        <w:pStyle w:val="Default"/>
        <w:jc w:val="both"/>
        <w:rPr>
          <w:rFonts w:ascii="Times New Roman" w:hAnsi="Times New Roman" w:cs="Times New Roman"/>
        </w:rPr>
      </w:pPr>
    </w:p>
    <w:p w14:paraId="66F45DB7" w14:textId="77777777" w:rsidR="005E7BA9" w:rsidRPr="006F2BA9" w:rsidRDefault="005E7BA9" w:rsidP="005E7BA9">
      <w:pPr>
        <w:jc w:val="both"/>
        <w:rPr>
          <w:rFonts w:ascii="Times New Roman" w:hAnsi="Times New Roman"/>
        </w:rPr>
      </w:pPr>
      <w:r w:rsidRPr="004252D3">
        <w:rPr>
          <w:rFonts w:ascii="Times New Roman" w:hAnsi="Times New Roman"/>
          <w:b/>
          <w:bCs/>
        </w:rPr>
        <w:t xml:space="preserve">Considerando </w:t>
      </w:r>
      <w:r w:rsidRPr="006F2BA9">
        <w:rPr>
          <w:rFonts w:ascii="Times New Roman" w:hAnsi="Times New Roman"/>
        </w:rPr>
        <w:t>o Termo de Cooperação Técnica entre a Defensoria Pública Geral do Estado de Alagoas – DPE/AL e o Conselho de Arquitetura e Urbanismo de Alagoas – CAU/AL, conforme extrato publicado no Diário Oficial de Alagoas – D.O.E, em 23 de dezembro de 2021;</w:t>
      </w:r>
    </w:p>
    <w:p w14:paraId="47BC1490" w14:textId="77777777" w:rsidR="005E7BA9" w:rsidRPr="006F2BA9" w:rsidRDefault="005E7BA9" w:rsidP="005E7BA9">
      <w:pPr>
        <w:jc w:val="both"/>
        <w:rPr>
          <w:rFonts w:ascii="Times New Roman" w:hAnsi="Times New Roman"/>
        </w:rPr>
      </w:pPr>
    </w:p>
    <w:p w14:paraId="156DC569" w14:textId="77777777" w:rsidR="005E7BA9" w:rsidRPr="006F2BA9" w:rsidRDefault="005E7BA9" w:rsidP="005E7BA9">
      <w:pPr>
        <w:jc w:val="both"/>
        <w:rPr>
          <w:rFonts w:ascii="Times New Roman" w:hAnsi="Times New Roman"/>
        </w:rPr>
      </w:pPr>
      <w:r w:rsidRPr="004252D3">
        <w:rPr>
          <w:rFonts w:ascii="Times New Roman" w:hAnsi="Times New Roman"/>
          <w:b/>
          <w:bCs/>
        </w:rPr>
        <w:t>Considerando</w:t>
      </w:r>
      <w:r w:rsidRPr="006F2BA9">
        <w:rPr>
          <w:rFonts w:ascii="Times New Roman" w:hAnsi="Times New Roman"/>
        </w:rPr>
        <w:t xml:space="preserve"> as diretrizes dos Objetivos de Desenvolvimento Sustentável (ODS) da Agenda 2030 para o Desenvolvimento Sustentável, em especial do objetivo número 11: “Tornar as cidades e os assentamentos humanos inclusivos, seguros, resilientes e sustentáveis”, bem como as da Nova Agenda Urbana (NAU);</w:t>
      </w:r>
    </w:p>
    <w:p w14:paraId="2F3B129B" w14:textId="77777777" w:rsidR="005E7BA9" w:rsidRPr="006F2BA9" w:rsidRDefault="005E7BA9" w:rsidP="005E7BA9">
      <w:pPr>
        <w:jc w:val="both"/>
        <w:rPr>
          <w:rFonts w:ascii="Times New Roman" w:hAnsi="Times New Roman"/>
        </w:rPr>
      </w:pPr>
    </w:p>
    <w:p w14:paraId="08458666" w14:textId="77777777" w:rsidR="005E7BA9" w:rsidRPr="006F2BA9" w:rsidRDefault="005E7BA9" w:rsidP="005E7BA9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  <w:r w:rsidRPr="004252D3">
        <w:rPr>
          <w:bCs w:val="0"/>
          <w:color w:val="000000" w:themeColor="text1"/>
          <w:sz w:val="24"/>
          <w:szCs w:val="24"/>
        </w:rPr>
        <w:t>Considerando</w:t>
      </w:r>
      <w:r w:rsidRPr="006F2BA9">
        <w:rPr>
          <w:b w:val="0"/>
          <w:color w:val="000000" w:themeColor="text1"/>
          <w:sz w:val="24"/>
          <w:szCs w:val="24"/>
        </w:rPr>
        <w:t xml:space="preserve"> a Lei Federal nº 11.888, de 24 de dezembro de 2008, que </w:t>
      </w:r>
      <w:r w:rsidRPr="006F2BA9">
        <w:rPr>
          <w:b w:val="0"/>
          <w:bCs w:val="0"/>
          <w:color w:val="000000" w:themeColor="text1"/>
          <w:spacing w:val="1"/>
          <w:sz w:val="24"/>
          <w:szCs w:val="24"/>
        </w:rPr>
        <w:t>assegura às famílias de baixa renda assistência técnica pública e gratuita para o projeto e a construção de habitação de interesse social;</w:t>
      </w:r>
    </w:p>
    <w:p w14:paraId="6E41B278" w14:textId="77777777" w:rsidR="005E7BA9" w:rsidRPr="006F2BA9" w:rsidRDefault="005E7BA9" w:rsidP="005E7BA9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</w:p>
    <w:p w14:paraId="6968A75E" w14:textId="77777777" w:rsidR="005E7BA9" w:rsidRPr="006F2BA9" w:rsidRDefault="005E7BA9" w:rsidP="005E7BA9">
      <w:pPr>
        <w:jc w:val="both"/>
        <w:rPr>
          <w:rFonts w:ascii="Times New Roman" w:hAnsi="Times New Roman"/>
        </w:rPr>
      </w:pPr>
      <w:r w:rsidRPr="00DB2B89">
        <w:rPr>
          <w:rFonts w:ascii="Times New Roman" w:hAnsi="Times New Roman"/>
          <w:b/>
          <w:bCs/>
        </w:rPr>
        <w:t>Considerando</w:t>
      </w:r>
      <w:r w:rsidRPr="006F2BA9">
        <w:rPr>
          <w:rFonts w:ascii="Times New Roman" w:hAnsi="Times New Roman"/>
        </w:rPr>
        <w:t xml:space="preserve"> as diretrizes orçamentárias do CAU/BR para 2022.</w:t>
      </w:r>
    </w:p>
    <w:p w14:paraId="6EE9B210" w14:textId="77777777" w:rsidR="005E7BA9" w:rsidRPr="009D63AD" w:rsidRDefault="005E7BA9" w:rsidP="005E7BA9">
      <w:pPr>
        <w:pStyle w:val="Corpodetexto2"/>
        <w:rPr>
          <w:sz w:val="24"/>
          <w:szCs w:val="24"/>
        </w:rPr>
      </w:pPr>
    </w:p>
    <w:p w14:paraId="166105C1" w14:textId="155885FE" w:rsidR="005E7BA9" w:rsidRPr="00797D84" w:rsidRDefault="005E7BA9" w:rsidP="005E7BA9">
      <w:pPr>
        <w:pStyle w:val="Corpodetexto2"/>
        <w:rPr>
          <w:b/>
          <w:sz w:val="24"/>
          <w:szCs w:val="24"/>
        </w:rPr>
      </w:pPr>
      <w:r w:rsidRPr="00AA7015">
        <w:rPr>
          <w:b/>
          <w:sz w:val="24"/>
          <w:szCs w:val="24"/>
        </w:rPr>
        <w:t>DELIBEROU (</w:t>
      </w:r>
      <w:r w:rsidR="00D35265" w:rsidRPr="009666A7">
        <w:rPr>
          <w:b/>
          <w:sz w:val="24"/>
          <w:szCs w:val="24"/>
        </w:rPr>
        <w:t>01h</w:t>
      </w:r>
      <w:r w:rsidR="00D35265">
        <w:rPr>
          <w:b/>
          <w:sz w:val="24"/>
          <w:szCs w:val="24"/>
        </w:rPr>
        <w:t>26</w:t>
      </w:r>
      <w:r w:rsidR="00D35265" w:rsidRPr="009666A7">
        <w:rPr>
          <w:b/>
          <w:sz w:val="24"/>
          <w:szCs w:val="24"/>
        </w:rPr>
        <w:t>min</w:t>
      </w:r>
      <w:r w:rsidR="00D35265">
        <w:rPr>
          <w:b/>
          <w:sz w:val="24"/>
          <w:szCs w:val="24"/>
        </w:rPr>
        <w:t>10</w:t>
      </w:r>
      <w:r w:rsidR="00D35265" w:rsidRPr="009666A7">
        <w:rPr>
          <w:b/>
          <w:sz w:val="24"/>
          <w:szCs w:val="24"/>
        </w:rPr>
        <w:t xml:space="preserve"> – </w:t>
      </w:r>
      <w:r w:rsidR="00D35265">
        <w:rPr>
          <w:b/>
          <w:sz w:val="24"/>
          <w:szCs w:val="24"/>
        </w:rPr>
        <w:t>01</w:t>
      </w:r>
      <w:r w:rsidR="00D35265" w:rsidRPr="009666A7">
        <w:rPr>
          <w:b/>
          <w:sz w:val="24"/>
          <w:szCs w:val="24"/>
        </w:rPr>
        <w:t>h</w:t>
      </w:r>
      <w:r w:rsidR="00D35265">
        <w:rPr>
          <w:b/>
          <w:sz w:val="24"/>
          <w:szCs w:val="24"/>
        </w:rPr>
        <w:t>29</w:t>
      </w:r>
      <w:r w:rsidR="00D35265" w:rsidRPr="009666A7">
        <w:rPr>
          <w:b/>
          <w:sz w:val="24"/>
          <w:szCs w:val="24"/>
        </w:rPr>
        <w:t>min</w:t>
      </w:r>
      <w:r w:rsidR="00D35265">
        <w:rPr>
          <w:b/>
          <w:sz w:val="24"/>
          <w:szCs w:val="24"/>
        </w:rPr>
        <w:t>40</w:t>
      </w:r>
      <w:r w:rsidR="00D35265" w:rsidRPr="009666A7">
        <w:rPr>
          <w:b/>
          <w:sz w:val="24"/>
          <w:szCs w:val="24"/>
        </w:rPr>
        <w:t xml:space="preserve"> de gravação</w:t>
      </w:r>
      <w:r w:rsidRPr="00AA7015">
        <w:rPr>
          <w:b/>
          <w:sz w:val="24"/>
          <w:szCs w:val="24"/>
        </w:rPr>
        <w:t>):</w:t>
      </w:r>
    </w:p>
    <w:p w14:paraId="23266CFF" w14:textId="77777777" w:rsidR="005E7BA9" w:rsidRPr="00797D84" w:rsidRDefault="005E7BA9" w:rsidP="005E7BA9">
      <w:pPr>
        <w:rPr>
          <w:rFonts w:ascii="Times New Roman" w:hAnsi="Times New Roman"/>
        </w:rPr>
      </w:pPr>
    </w:p>
    <w:p w14:paraId="143028BD" w14:textId="705772C9" w:rsidR="005E7BA9" w:rsidRPr="00AF01FA" w:rsidRDefault="005E7BA9" w:rsidP="005E7BA9">
      <w:pPr>
        <w:pStyle w:val="Corpodetexto2"/>
        <w:rPr>
          <w:bCs/>
          <w:sz w:val="24"/>
          <w:szCs w:val="24"/>
        </w:rPr>
      </w:pPr>
      <w:r w:rsidRPr="006432E0">
        <w:rPr>
          <w:sz w:val="24"/>
          <w:szCs w:val="24"/>
        </w:rPr>
        <w:t>1 – Autorizar</w:t>
      </w:r>
      <w:r>
        <w:rPr>
          <w:sz w:val="24"/>
          <w:szCs w:val="24"/>
        </w:rPr>
        <w:t xml:space="preserve"> </w:t>
      </w:r>
      <w:r w:rsidRPr="006432E0">
        <w:rPr>
          <w:sz w:val="24"/>
          <w:szCs w:val="24"/>
        </w:rPr>
        <w:t>a abertura de Processo de Seleção Públic</w:t>
      </w:r>
      <w:r>
        <w:rPr>
          <w:sz w:val="24"/>
          <w:szCs w:val="24"/>
        </w:rPr>
        <w:t>a</w:t>
      </w:r>
      <w:r w:rsidRPr="006432E0">
        <w:rPr>
          <w:sz w:val="24"/>
          <w:szCs w:val="24"/>
        </w:rPr>
        <w:t xml:space="preserve"> Simplificado no âmbito do Conselho de Arquitetura e Urbanismo de Alagoas</w:t>
      </w:r>
      <w:r>
        <w:rPr>
          <w:sz w:val="24"/>
          <w:szCs w:val="24"/>
        </w:rPr>
        <w:t xml:space="preserve">, </w:t>
      </w:r>
      <w:r w:rsidRPr="006F2BA9">
        <w:rPr>
          <w:bCs/>
          <w:sz w:val="24"/>
          <w:szCs w:val="24"/>
        </w:rPr>
        <w:t xml:space="preserve">para contratação de profissionais e/ou pessoa jurídica para atendimento ao Termo de Cooperação junto com a DPE/AL, </w:t>
      </w:r>
      <w:r w:rsidR="00731DD2">
        <w:rPr>
          <w:bCs/>
          <w:sz w:val="24"/>
          <w:szCs w:val="24"/>
        </w:rPr>
        <w:t>para toda Alagoas</w:t>
      </w:r>
      <w:r w:rsidRPr="006F2BA9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no âmbito</w:t>
      </w:r>
      <w:r w:rsidRPr="006F2BA9">
        <w:rPr>
          <w:bCs/>
          <w:sz w:val="24"/>
          <w:szCs w:val="24"/>
        </w:rPr>
        <w:t xml:space="preserve"> </w:t>
      </w:r>
      <w:r w:rsidRPr="006F2BA9">
        <w:rPr>
          <w:sz w:val="24"/>
          <w:szCs w:val="24"/>
        </w:rPr>
        <w:t>de Assistência Técnica em Habitação de Interesse Social – ATHIS</w:t>
      </w:r>
      <w:r>
        <w:rPr>
          <w:bCs/>
          <w:sz w:val="24"/>
          <w:szCs w:val="24"/>
        </w:rPr>
        <w:t>;</w:t>
      </w:r>
    </w:p>
    <w:p w14:paraId="169793AF" w14:textId="77777777" w:rsidR="005E7BA9" w:rsidRPr="006432E0" w:rsidRDefault="005E7BA9" w:rsidP="005E7BA9">
      <w:pPr>
        <w:jc w:val="both"/>
        <w:rPr>
          <w:rFonts w:ascii="Times New Roman" w:hAnsi="Times New Roman"/>
        </w:rPr>
      </w:pPr>
    </w:p>
    <w:p w14:paraId="50095CD1" w14:textId="77777777" w:rsidR="005E7BA9" w:rsidRPr="006F2BA9" w:rsidRDefault="005E7BA9" w:rsidP="005E7BA9">
      <w:pPr>
        <w:jc w:val="both"/>
        <w:rPr>
          <w:rFonts w:ascii="Times New Roman" w:hAnsi="Times New Roman"/>
          <w:bCs/>
        </w:rPr>
      </w:pPr>
      <w:r w:rsidRPr="006F2BA9">
        <w:rPr>
          <w:rFonts w:ascii="Times New Roman" w:hAnsi="Times New Roman"/>
        </w:rPr>
        <w:t xml:space="preserve">2 – Indicar as Conselheiras Paula Regina Vieira Zacarias, </w:t>
      </w:r>
      <w:r w:rsidRPr="006F2BA9">
        <w:rPr>
          <w:rFonts w:ascii="Times New Roman" w:hAnsi="Times New Roman"/>
          <w:bCs/>
        </w:rPr>
        <w:t xml:space="preserve">Hanah Maria Torres de Melo e </w:t>
      </w:r>
      <w:r>
        <w:rPr>
          <w:rFonts w:ascii="Times New Roman" w:hAnsi="Times New Roman"/>
          <w:bCs/>
        </w:rPr>
        <w:t>Vivaldo F. Chagas Júnior,</w:t>
      </w:r>
      <w:r w:rsidRPr="006F2BA9">
        <w:rPr>
          <w:rFonts w:ascii="Times New Roman" w:hAnsi="Times New Roman"/>
          <w:bCs/>
        </w:rPr>
        <w:t xml:space="preserve"> </w:t>
      </w:r>
      <w:r w:rsidRPr="006F2BA9">
        <w:rPr>
          <w:rFonts w:ascii="Times New Roman" w:hAnsi="Times New Roman"/>
        </w:rPr>
        <w:t xml:space="preserve">como membros </w:t>
      </w:r>
      <w:r w:rsidRPr="006F2BA9">
        <w:rPr>
          <w:rFonts w:ascii="Times New Roman" w:hAnsi="Times New Roman"/>
          <w:bCs/>
        </w:rPr>
        <w:t xml:space="preserve">da comissão julgadora da seleção pública </w:t>
      </w:r>
      <w:r w:rsidRPr="006F2BA9">
        <w:rPr>
          <w:rFonts w:ascii="Times New Roman" w:hAnsi="Times New Roman"/>
        </w:rPr>
        <w:t>dos candidatos do edital do ATHIS;</w:t>
      </w:r>
    </w:p>
    <w:p w14:paraId="123A9944" w14:textId="77777777" w:rsidR="005E7BA9" w:rsidRPr="006F2BA9" w:rsidRDefault="005E7BA9" w:rsidP="005E7BA9">
      <w:pPr>
        <w:pStyle w:val="Corpodetexto2"/>
        <w:rPr>
          <w:sz w:val="24"/>
          <w:szCs w:val="24"/>
          <w:highlight w:val="yellow"/>
        </w:rPr>
      </w:pPr>
    </w:p>
    <w:p w14:paraId="6D168949" w14:textId="77777777" w:rsidR="005E7BA9" w:rsidRPr="006F2BA9" w:rsidRDefault="005E7BA9" w:rsidP="005E7BA9">
      <w:pPr>
        <w:pStyle w:val="Corpodetexto2"/>
        <w:rPr>
          <w:sz w:val="24"/>
          <w:szCs w:val="24"/>
        </w:rPr>
      </w:pPr>
      <w:r w:rsidRPr="006F2BA9">
        <w:rPr>
          <w:sz w:val="24"/>
          <w:szCs w:val="24"/>
        </w:rPr>
        <w:t>3 – Indicar o Conselheiro Alexandre Henrique Pereira e Silva como gestor do contrato;</w:t>
      </w:r>
    </w:p>
    <w:p w14:paraId="149DAF95" w14:textId="77777777" w:rsidR="005E7BA9" w:rsidRDefault="005E7BA9" w:rsidP="005E7BA9">
      <w:pPr>
        <w:rPr>
          <w:rFonts w:ascii="Times New Roman" w:hAnsi="Times New Roman"/>
        </w:rPr>
      </w:pPr>
    </w:p>
    <w:p w14:paraId="00659690" w14:textId="77777777" w:rsidR="005E7BA9" w:rsidRDefault="005E7BA9" w:rsidP="005E7BA9">
      <w:pPr>
        <w:jc w:val="center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29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setembro</w:t>
      </w:r>
      <w:r w:rsidRPr="5CF743F9">
        <w:rPr>
          <w:rFonts w:ascii="Times New Roman" w:hAnsi="Times New Roman"/>
          <w:lang w:eastAsia="pt-BR"/>
        </w:rPr>
        <w:t xml:space="preserve"> de 202</w:t>
      </w:r>
      <w:r>
        <w:rPr>
          <w:rFonts w:ascii="Times New Roman" w:hAnsi="Times New Roman"/>
          <w:lang w:eastAsia="pt-BR"/>
        </w:rPr>
        <w:t>2</w:t>
      </w:r>
      <w:r w:rsidRPr="5CF743F9">
        <w:rPr>
          <w:rFonts w:ascii="Times New Roman" w:hAnsi="Times New Roman"/>
          <w:lang w:eastAsia="pt-BR"/>
        </w:rPr>
        <w:t>.</w:t>
      </w:r>
    </w:p>
    <w:p w14:paraId="544DC4F7" w14:textId="77777777" w:rsidR="005E7BA9" w:rsidRPr="002677E4" w:rsidRDefault="005E7BA9" w:rsidP="005E7BA9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2677E4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2677E4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</w:p>
        </w:tc>
      </w:tr>
      <w:tr w:rsidR="00C4607E" w:rsidRPr="002677E4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7366A6F3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0E098E79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10535B55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7C7F61DF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077FC2CC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5C68AF38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04018B9E" w:rsidR="00C4607E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5B3E08C3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211F06B8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59241A37" w:rsidR="00C4607E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1E14CB9A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34F821FA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56268FFC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4F40D9A2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7BE51492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78B6F706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228BB2BB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15B59677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031EFB29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5734FBB3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37947EFC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44D450DF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539D57F1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7CA3D1D8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7539A35E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2B3B0522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594523B4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24DE7E7D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5CFA1CB5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72746C58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3C06DACB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3E49B1B2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35CEC331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4F943557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3E5F67F2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07C65FD7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157F18B3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763D5160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0B5F06C7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5B7ADAAC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62DACE35" w:rsidR="00C4607E" w:rsidRPr="00530494" w:rsidRDefault="00C4607E" w:rsidP="00C4607E">
            <w:pPr>
              <w:rPr>
                <w:rFonts w:ascii="Times New Roman" w:hAnsi="Times New Roman"/>
              </w:rPr>
            </w:pPr>
            <w:r w:rsidRPr="009163B5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63DDEDA7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2EE1594B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169A0AD0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6A527AFA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  <w:tr w:rsidR="00C4607E" w:rsidRPr="002677E4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5C17DCEC" w:rsidR="00C4607E" w:rsidRPr="00530494" w:rsidRDefault="00C4607E" w:rsidP="00C4607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79BE62C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3146472B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593A85C8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5309104A" w:rsidR="00C4607E" w:rsidRPr="002677E4" w:rsidRDefault="00C4607E" w:rsidP="00C460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C4607E" w:rsidRPr="002677E4" w:rsidRDefault="00C4607E" w:rsidP="00C4607E">
            <w:pPr>
              <w:rPr>
                <w:rFonts w:ascii="Times New Roman" w:hAnsi="Times New Roman"/>
              </w:rPr>
            </w:pPr>
          </w:p>
        </w:tc>
      </w:tr>
    </w:tbl>
    <w:p w14:paraId="16C4E2EC" w14:textId="77777777" w:rsidR="005E7BA9" w:rsidRDefault="005E7BA9" w:rsidP="005E7BA9">
      <w:pPr>
        <w:rPr>
          <w:rFonts w:ascii="Times New Roman" w:hAnsi="Times New Roman"/>
        </w:rPr>
      </w:pPr>
    </w:p>
    <w:p w14:paraId="769235DB" w14:textId="77777777" w:rsidR="00181B92" w:rsidRPr="005E7BA9" w:rsidRDefault="00181B92" w:rsidP="005E7BA9"/>
    <w:sectPr w:rsidR="00181B92" w:rsidRPr="005E7BA9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4A147" w14:textId="77777777" w:rsidR="00BF7219" w:rsidRDefault="00BF7219" w:rsidP="00EE4FDD">
      <w:r>
        <w:separator/>
      </w:r>
    </w:p>
  </w:endnote>
  <w:endnote w:type="continuationSeparator" w:id="0">
    <w:p w14:paraId="430F0FC5" w14:textId="77777777" w:rsidR="00BF7219" w:rsidRDefault="00BF721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8777F" w14:textId="77777777" w:rsidR="00BF7219" w:rsidRDefault="00BF7219" w:rsidP="00EE4FDD">
      <w:r>
        <w:separator/>
      </w:r>
    </w:p>
  </w:footnote>
  <w:footnote w:type="continuationSeparator" w:id="0">
    <w:p w14:paraId="5FD61A41" w14:textId="77777777" w:rsidR="00BF7219" w:rsidRDefault="00BF721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F12C1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F12C1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35265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411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11</cp:revision>
  <cp:lastPrinted>2016-01-29T00:41:00Z</cp:lastPrinted>
  <dcterms:created xsi:type="dcterms:W3CDTF">2022-09-27T16:33:00Z</dcterms:created>
  <dcterms:modified xsi:type="dcterms:W3CDTF">2022-09-30T18:47:00Z</dcterms:modified>
</cp:coreProperties>
</file>