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5F2081" w:rsidRPr="00E81357" w14:paraId="3E612B39" w14:textId="77777777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3E612B37" w14:textId="77777777" w:rsidR="005F2081" w:rsidRPr="00E81357" w:rsidRDefault="005F2081" w:rsidP="002677E4">
            <w:pPr>
              <w:rPr>
                <w:rFonts w:ascii="Times New Roman" w:hAnsi="Times New Roman"/>
              </w:rPr>
            </w:pPr>
            <w:r w:rsidRPr="00E81357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3E612B38" w14:textId="77777777" w:rsidR="005F2081" w:rsidRPr="00E81357" w:rsidRDefault="00C42401" w:rsidP="003156F8">
            <w:pPr>
              <w:rPr>
                <w:rFonts w:ascii="Times New Roman" w:hAnsi="Times New Roman"/>
              </w:rPr>
            </w:pPr>
            <w:r w:rsidRPr="00E81357">
              <w:rPr>
                <w:rFonts w:ascii="Times New Roman" w:hAnsi="Times New Roman"/>
              </w:rPr>
              <w:t>-</w:t>
            </w:r>
          </w:p>
        </w:tc>
      </w:tr>
      <w:tr w:rsidR="00C42401" w:rsidRPr="00E81357" w14:paraId="3E612B3C" w14:textId="77777777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3E612B3A" w14:textId="77777777" w:rsidR="00C42401" w:rsidRPr="00E81357" w:rsidRDefault="00C42401" w:rsidP="002677E4">
            <w:pPr>
              <w:rPr>
                <w:rFonts w:ascii="Times New Roman" w:hAnsi="Times New Roman"/>
              </w:rPr>
            </w:pPr>
            <w:r w:rsidRPr="00E81357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3E612B3B" w14:textId="77777777" w:rsidR="00C42401" w:rsidRPr="00E81357" w:rsidRDefault="00C42401" w:rsidP="003156F8">
            <w:pPr>
              <w:rPr>
                <w:rFonts w:ascii="Times New Roman" w:hAnsi="Times New Roman"/>
              </w:rPr>
            </w:pPr>
            <w:r w:rsidRPr="00E81357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E81357" w14:paraId="3E612B3F" w14:textId="77777777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3E612B3D" w14:textId="77777777" w:rsidR="00C42401" w:rsidRPr="00E81357" w:rsidRDefault="00C42401" w:rsidP="002677E4">
            <w:pPr>
              <w:rPr>
                <w:rFonts w:ascii="Times New Roman" w:hAnsi="Times New Roman"/>
              </w:rPr>
            </w:pPr>
            <w:r w:rsidRPr="00E81357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3E612B3E" w14:textId="2E230794" w:rsidR="00C42401" w:rsidRPr="00E81357" w:rsidRDefault="00E81357" w:rsidP="003156F8">
            <w:pPr>
              <w:ind w:right="-481"/>
              <w:rPr>
                <w:rFonts w:ascii="Times New Roman" w:hAnsi="Times New Roman"/>
              </w:rPr>
            </w:pPr>
            <w:r w:rsidRPr="00E81357">
              <w:rPr>
                <w:rFonts w:ascii="Times New Roman" w:hAnsi="Times New Roman"/>
                <w:bCs/>
                <w:lang w:eastAsia="pt-BR"/>
              </w:rPr>
              <w:t>Homologação da adesão à carta aberta sobre a venda e transferência do controle da Braskem</w:t>
            </w:r>
          </w:p>
        </w:tc>
      </w:tr>
      <w:tr w:rsidR="002677E4" w:rsidRPr="00E81357" w14:paraId="3E612B41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3E612B40" w14:textId="77777777" w:rsidR="002677E4" w:rsidRPr="00E81357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E81357" w14:paraId="3E612B43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E612B42" w14:textId="771E23BE" w:rsidR="00C91572" w:rsidRPr="00E81357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E81357">
              <w:rPr>
                <w:rFonts w:ascii="Times New Roman" w:hAnsi="Times New Roman"/>
              </w:rPr>
              <w:t>DELIBERAÇÃO</w:t>
            </w:r>
            <w:r w:rsidR="00DB6BBA" w:rsidRPr="00E81357">
              <w:rPr>
                <w:rFonts w:ascii="Times New Roman" w:hAnsi="Times New Roman"/>
              </w:rPr>
              <w:t xml:space="preserve"> PLENÁRIA</w:t>
            </w:r>
            <w:r w:rsidR="0002046B" w:rsidRPr="00E81357">
              <w:rPr>
                <w:rFonts w:ascii="Times New Roman" w:hAnsi="Times New Roman"/>
              </w:rPr>
              <w:t xml:space="preserve"> </w:t>
            </w:r>
            <w:r w:rsidR="002C6094" w:rsidRPr="00E81357">
              <w:rPr>
                <w:rFonts w:ascii="Times New Roman" w:hAnsi="Times New Roman"/>
              </w:rPr>
              <w:t xml:space="preserve">DPOAL Nº </w:t>
            </w:r>
            <w:r w:rsidR="00125FA2" w:rsidRPr="00E81357">
              <w:rPr>
                <w:rFonts w:ascii="Times New Roman" w:hAnsi="Times New Roman"/>
              </w:rPr>
              <w:t>0</w:t>
            </w:r>
            <w:r w:rsidR="0021066A" w:rsidRPr="00E81357">
              <w:rPr>
                <w:rFonts w:ascii="Times New Roman" w:hAnsi="Times New Roman"/>
              </w:rPr>
              <w:t>1</w:t>
            </w:r>
            <w:r w:rsidR="00283737">
              <w:rPr>
                <w:rFonts w:ascii="Times New Roman" w:hAnsi="Times New Roman"/>
              </w:rPr>
              <w:t>10</w:t>
            </w:r>
            <w:r w:rsidR="00125FA2" w:rsidRPr="00E81357">
              <w:rPr>
                <w:rFonts w:ascii="Times New Roman" w:hAnsi="Times New Roman"/>
              </w:rPr>
              <w:t>-0</w:t>
            </w:r>
            <w:r w:rsidR="00D53582" w:rsidRPr="00E81357">
              <w:rPr>
                <w:rFonts w:ascii="Times New Roman" w:hAnsi="Times New Roman"/>
              </w:rPr>
              <w:t>2</w:t>
            </w:r>
            <w:r w:rsidR="002677E4" w:rsidRPr="00E81357">
              <w:rPr>
                <w:rFonts w:ascii="Times New Roman" w:hAnsi="Times New Roman"/>
              </w:rPr>
              <w:t>/20</w:t>
            </w:r>
            <w:r w:rsidR="00125FA2" w:rsidRPr="00E81357">
              <w:rPr>
                <w:rFonts w:ascii="Times New Roman" w:hAnsi="Times New Roman"/>
              </w:rPr>
              <w:t>2</w:t>
            </w:r>
            <w:r w:rsidR="00ED197F" w:rsidRPr="00E81357">
              <w:rPr>
                <w:rFonts w:ascii="Times New Roman" w:hAnsi="Times New Roman"/>
              </w:rPr>
              <w:t>2</w:t>
            </w:r>
          </w:p>
        </w:tc>
      </w:tr>
    </w:tbl>
    <w:p w14:paraId="3E612B44" w14:textId="77777777" w:rsidR="00D11147" w:rsidRPr="00E81357" w:rsidRDefault="00D11147" w:rsidP="002677E4">
      <w:pPr>
        <w:jc w:val="both"/>
        <w:rPr>
          <w:rFonts w:ascii="Times New Roman" w:hAnsi="Times New Roman"/>
        </w:rPr>
      </w:pPr>
    </w:p>
    <w:p w14:paraId="3E612B45" w14:textId="16818DC3" w:rsidR="008C2BB7" w:rsidRPr="00E81357" w:rsidRDefault="008C2BB7" w:rsidP="008C2BB7">
      <w:pPr>
        <w:jc w:val="both"/>
        <w:rPr>
          <w:rFonts w:ascii="Times New Roman" w:hAnsi="Times New Roman"/>
        </w:rPr>
      </w:pPr>
      <w:r w:rsidRPr="00E81357">
        <w:rPr>
          <w:rFonts w:ascii="Times New Roman" w:hAnsi="Times New Roman"/>
        </w:rPr>
        <w:t xml:space="preserve">O PLENÁRIO DO CONSELHO DE ARQUITETURA E URBANISMO DE ALAGOAS – CAU/AL, </w:t>
      </w:r>
      <w:r w:rsidRPr="00E81357">
        <w:rPr>
          <w:rFonts w:ascii="Times New Roman" w:hAnsi="Times New Roman"/>
          <w:lang w:eastAsia="pt-BR"/>
        </w:rPr>
        <w:t>no exercício das competências e prerrogativas de que trata o</w:t>
      </w:r>
      <w:r w:rsidRPr="00E81357">
        <w:rPr>
          <w:rFonts w:ascii="Times New Roman" w:eastAsia="Times New Roman" w:hAnsi="Times New Roman"/>
          <w:bCs/>
          <w:lang w:eastAsia="pt-BR"/>
        </w:rPr>
        <w:t xml:space="preserve"> Art. 9 </w:t>
      </w:r>
      <w:r w:rsidRPr="00E81357">
        <w:rPr>
          <w:rFonts w:ascii="Times New Roman" w:hAnsi="Times New Roman"/>
          <w:lang w:eastAsia="pt-BR"/>
        </w:rPr>
        <w:t>do Regimento Interno</w:t>
      </w:r>
      <w:r w:rsidRPr="00E81357">
        <w:rPr>
          <w:rFonts w:ascii="Times New Roman" w:hAnsi="Times New Roman"/>
        </w:rPr>
        <w:t xml:space="preserve"> </w:t>
      </w:r>
      <w:r w:rsidRPr="00E81357">
        <w:rPr>
          <w:rFonts w:ascii="Times New Roman" w:hAnsi="Times New Roman"/>
          <w:lang w:eastAsia="pt-BR"/>
        </w:rPr>
        <w:t xml:space="preserve">do CAU/AL reunido ordinariamente por meio de videoconferência no dia </w:t>
      </w:r>
      <w:r w:rsidR="00A3738B">
        <w:rPr>
          <w:rFonts w:ascii="Times New Roman" w:hAnsi="Times New Roman"/>
          <w:lang w:eastAsia="pt-BR"/>
        </w:rPr>
        <w:t>24</w:t>
      </w:r>
      <w:r w:rsidRPr="00E81357">
        <w:rPr>
          <w:rFonts w:ascii="Times New Roman" w:hAnsi="Times New Roman"/>
          <w:lang w:eastAsia="pt-BR"/>
        </w:rPr>
        <w:t xml:space="preserve"> de </w:t>
      </w:r>
      <w:r w:rsidR="00A3738B">
        <w:rPr>
          <w:rFonts w:ascii="Times New Roman" w:hAnsi="Times New Roman"/>
          <w:lang w:eastAsia="pt-BR"/>
        </w:rPr>
        <w:t>fever</w:t>
      </w:r>
      <w:r w:rsidR="00ED197F" w:rsidRPr="00E81357">
        <w:rPr>
          <w:rFonts w:ascii="Times New Roman" w:hAnsi="Times New Roman"/>
          <w:lang w:eastAsia="pt-BR"/>
        </w:rPr>
        <w:t>ei</w:t>
      </w:r>
      <w:r w:rsidRPr="00E81357">
        <w:rPr>
          <w:rFonts w:ascii="Times New Roman" w:hAnsi="Times New Roman"/>
          <w:lang w:eastAsia="pt-BR"/>
        </w:rPr>
        <w:t>ro de 202</w:t>
      </w:r>
      <w:r w:rsidR="00ED197F" w:rsidRPr="00E81357">
        <w:rPr>
          <w:rFonts w:ascii="Times New Roman" w:hAnsi="Times New Roman"/>
          <w:lang w:eastAsia="pt-BR"/>
        </w:rPr>
        <w:t>2</w:t>
      </w:r>
      <w:r w:rsidRPr="00E81357">
        <w:rPr>
          <w:rFonts w:ascii="Times New Roman" w:hAnsi="Times New Roman"/>
          <w:lang w:eastAsia="pt-BR"/>
        </w:rPr>
        <w:t>, após análise do</w:t>
      </w:r>
      <w:r w:rsidRPr="00E81357">
        <w:rPr>
          <w:rFonts w:ascii="Times New Roman" w:hAnsi="Times New Roman"/>
        </w:rPr>
        <w:t xml:space="preserve"> </w:t>
      </w:r>
      <w:r w:rsidRPr="00E81357">
        <w:rPr>
          <w:rFonts w:ascii="Times New Roman" w:hAnsi="Times New Roman"/>
          <w:lang w:eastAsia="pt-BR"/>
        </w:rPr>
        <w:t>assunto em epígrafe;</w:t>
      </w:r>
    </w:p>
    <w:p w14:paraId="3E612B4A" w14:textId="77777777" w:rsidR="000706AB" w:rsidRPr="00E81357" w:rsidRDefault="000706AB" w:rsidP="00417BDA">
      <w:pPr>
        <w:pStyle w:val="Corpodetexto2"/>
        <w:rPr>
          <w:sz w:val="24"/>
          <w:szCs w:val="24"/>
        </w:rPr>
      </w:pPr>
    </w:p>
    <w:p w14:paraId="3E612B4B" w14:textId="160B31A9" w:rsidR="000706AB" w:rsidRPr="00E81357" w:rsidRDefault="000706AB" w:rsidP="00417BDA">
      <w:pPr>
        <w:pStyle w:val="Corpodetexto2"/>
        <w:rPr>
          <w:b/>
          <w:sz w:val="24"/>
          <w:szCs w:val="24"/>
        </w:rPr>
      </w:pPr>
      <w:r w:rsidRPr="00B35BD3">
        <w:rPr>
          <w:b/>
          <w:sz w:val="24"/>
          <w:szCs w:val="24"/>
        </w:rPr>
        <w:t>DELIBEROU</w:t>
      </w:r>
      <w:r w:rsidR="005F21BF" w:rsidRPr="00B35BD3">
        <w:rPr>
          <w:b/>
          <w:sz w:val="24"/>
          <w:szCs w:val="24"/>
        </w:rPr>
        <w:t xml:space="preserve"> </w:t>
      </w:r>
      <w:r w:rsidR="005F21BF" w:rsidRPr="00B35BD3">
        <w:rPr>
          <w:b/>
          <w:bCs/>
          <w:sz w:val="24"/>
          <w:szCs w:val="24"/>
        </w:rPr>
        <w:t>(</w:t>
      </w:r>
      <w:r w:rsidR="00902521" w:rsidRPr="00B35BD3">
        <w:rPr>
          <w:b/>
          <w:bCs/>
          <w:sz w:val="24"/>
          <w:szCs w:val="24"/>
        </w:rPr>
        <w:t>50</w:t>
      </w:r>
      <w:r w:rsidR="005F21BF" w:rsidRPr="00B35BD3">
        <w:rPr>
          <w:b/>
          <w:bCs/>
          <w:sz w:val="24"/>
          <w:szCs w:val="24"/>
        </w:rPr>
        <w:t>min</w:t>
      </w:r>
      <w:r w:rsidR="00902521" w:rsidRPr="00B35BD3">
        <w:rPr>
          <w:b/>
          <w:bCs/>
          <w:sz w:val="24"/>
          <w:szCs w:val="24"/>
        </w:rPr>
        <w:t>3</w:t>
      </w:r>
      <w:r w:rsidR="00B35BD3" w:rsidRPr="00B35BD3">
        <w:rPr>
          <w:b/>
          <w:bCs/>
          <w:sz w:val="24"/>
          <w:szCs w:val="24"/>
        </w:rPr>
        <w:t>8</w:t>
      </w:r>
      <w:r w:rsidR="005F21BF" w:rsidRPr="00B35BD3">
        <w:rPr>
          <w:b/>
          <w:bCs/>
          <w:sz w:val="24"/>
          <w:szCs w:val="24"/>
        </w:rPr>
        <w:t xml:space="preserve"> – </w:t>
      </w:r>
      <w:r w:rsidR="00B35BD3" w:rsidRPr="00B35BD3">
        <w:rPr>
          <w:b/>
          <w:bCs/>
          <w:sz w:val="24"/>
          <w:szCs w:val="24"/>
        </w:rPr>
        <w:t>51</w:t>
      </w:r>
      <w:r w:rsidR="005F21BF" w:rsidRPr="00B35BD3">
        <w:rPr>
          <w:b/>
          <w:bCs/>
          <w:sz w:val="24"/>
          <w:szCs w:val="24"/>
        </w:rPr>
        <w:t>min</w:t>
      </w:r>
      <w:r w:rsidR="00B35BD3" w:rsidRPr="00B35BD3">
        <w:rPr>
          <w:b/>
          <w:bCs/>
          <w:sz w:val="24"/>
          <w:szCs w:val="24"/>
        </w:rPr>
        <w:t>54</w:t>
      </w:r>
      <w:r w:rsidR="005F21BF" w:rsidRPr="00B35BD3">
        <w:rPr>
          <w:b/>
          <w:bCs/>
          <w:sz w:val="24"/>
          <w:szCs w:val="24"/>
        </w:rPr>
        <w:t xml:space="preserve"> de gravação)</w:t>
      </w:r>
      <w:r w:rsidRPr="00B35BD3">
        <w:rPr>
          <w:b/>
          <w:sz w:val="24"/>
          <w:szCs w:val="24"/>
        </w:rPr>
        <w:t>:</w:t>
      </w:r>
    </w:p>
    <w:p w14:paraId="3E612B4C" w14:textId="77777777" w:rsidR="00417BDA" w:rsidRPr="00E81357" w:rsidRDefault="00417BDA" w:rsidP="00417BDA">
      <w:pPr>
        <w:rPr>
          <w:rFonts w:ascii="Times New Roman" w:hAnsi="Times New Roman"/>
        </w:rPr>
      </w:pPr>
    </w:p>
    <w:p w14:paraId="3E612B4D" w14:textId="4402CF68" w:rsidR="00820D26" w:rsidRPr="00E81357" w:rsidRDefault="00816849" w:rsidP="00C42401">
      <w:pPr>
        <w:pStyle w:val="Corpodetexto2"/>
        <w:rPr>
          <w:sz w:val="24"/>
          <w:szCs w:val="24"/>
        </w:rPr>
      </w:pPr>
      <w:r w:rsidRPr="00E81357">
        <w:rPr>
          <w:sz w:val="24"/>
          <w:szCs w:val="24"/>
        </w:rPr>
        <w:t xml:space="preserve">1 – </w:t>
      </w:r>
      <w:r w:rsidR="00890EDC">
        <w:rPr>
          <w:sz w:val="24"/>
          <w:szCs w:val="24"/>
        </w:rPr>
        <w:t>H</w:t>
      </w:r>
      <w:r w:rsidR="00A7366A" w:rsidRPr="00685EBD">
        <w:rPr>
          <w:bCs/>
          <w:sz w:val="23"/>
          <w:szCs w:val="23"/>
        </w:rPr>
        <w:t>omolog</w:t>
      </w:r>
      <w:r w:rsidR="00890EDC">
        <w:rPr>
          <w:bCs/>
          <w:sz w:val="23"/>
          <w:szCs w:val="23"/>
        </w:rPr>
        <w:t>ar</w:t>
      </w:r>
      <w:r w:rsidR="00A7366A" w:rsidRPr="00685EBD">
        <w:rPr>
          <w:bCs/>
          <w:sz w:val="23"/>
          <w:szCs w:val="23"/>
        </w:rPr>
        <w:t xml:space="preserve"> </w:t>
      </w:r>
      <w:r w:rsidR="00A7366A">
        <w:rPr>
          <w:bCs/>
          <w:sz w:val="23"/>
          <w:szCs w:val="23"/>
        </w:rPr>
        <w:t>a adesão</w:t>
      </w:r>
      <w:r w:rsidR="00A7366A" w:rsidRPr="00685EBD">
        <w:rPr>
          <w:bCs/>
          <w:sz w:val="23"/>
          <w:szCs w:val="23"/>
        </w:rPr>
        <w:t xml:space="preserve"> </w:t>
      </w:r>
      <w:r w:rsidR="00A7366A">
        <w:rPr>
          <w:bCs/>
          <w:sz w:val="23"/>
          <w:szCs w:val="23"/>
        </w:rPr>
        <w:t>à</w:t>
      </w:r>
      <w:r w:rsidR="00A7366A" w:rsidRPr="00685EBD">
        <w:rPr>
          <w:bCs/>
          <w:sz w:val="23"/>
          <w:szCs w:val="23"/>
        </w:rPr>
        <w:t xml:space="preserve"> </w:t>
      </w:r>
      <w:r w:rsidR="00A7366A">
        <w:rPr>
          <w:bCs/>
          <w:sz w:val="23"/>
          <w:szCs w:val="23"/>
        </w:rPr>
        <w:t>c</w:t>
      </w:r>
      <w:r w:rsidR="00A7366A" w:rsidRPr="00685EBD">
        <w:rPr>
          <w:bCs/>
          <w:sz w:val="23"/>
          <w:szCs w:val="23"/>
        </w:rPr>
        <w:t>arta</w:t>
      </w:r>
      <w:r w:rsidR="00A7366A">
        <w:rPr>
          <w:bCs/>
          <w:sz w:val="23"/>
          <w:szCs w:val="23"/>
        </w:rPr>
        <w:t xml:space="preserve"> aberta</w:t>
      </w:r>
      <w:r w:rsidR="002A0254">
        <w:rPr>
          <w:bCs/>
          <w:sz w:val="23"/>
          <w:szCs w:val="23"/>
        </w:rPr>
        <w:t xml:space="preserve"> (em anexo)</w:t>
      </w:r>
      <w:r w:rsidR="00A7366A">
        <w:rPr>
          <w:bCs/>
          <w:sz w:val="23"/>
          <w:szCs w:val="23"/>
        </w:rPr>
        <w:t xml:space="preserve"> sobre a venda e transferência do controle da Braskem</w:t>
      </w:r>
      <w:r w:rsidR="00820D26" w:rsidRPr="00E81357">
        <w:rPr>
          <w:sz w:val="24"/>
          <w:szCs w:val="24"/>
        </w:rPr>
        <w:t>;</w:t>
      </w:r>
    </w:p>
    <w:p w14:paraId="3E612B4E" w14:textId="77777777" w:rsidR="00820D26" w:rsidRPr="00E81357" w:rsidRDefault="00820D26" w:rsidP="00C42401">
      <w:pPr>
        <w:pStyle w:val="Corpodetexto2"/>
        <w:rPr>
          <w:sz w:val="24"/>
          <w:szCs w:val="24"/>
        </w:rPr>
      </w:pPr>
    </w:p>
    <w:p w14:paraId="3E612B61" w14:textId="77777777" w:rsidR="00582651" w:rsidRPr="00E81357" w:rsidRDefault="00582651" w:rsidP="00C25090">
      <w:pPr>
        <w:rPr>
          <w:rFonts w:ascii="Times New Roman" w:hAnsi="Times New Roman"/>
        </w:rPr>
      </w:pPr>
    </w:p>
    <w:p w14:paraId="3E612B62" w14:textId="379B7E6F" w:rsidR="00D36DE6" w:rsidRPr="00E81357" w:rsidRDefault="00D36DE6" w:rsidP="00D36DE6">
      <w:pPr>
        <w:jc w:val="center"/>
        <w:rPr>
          <w:rFonts w:ascii="Times New Roman" w:hAnsi="Times New Roman"/>
        </w:rPr>
      </w:pPr>
      <w:proofErr w:type="spellStart"/>
      <w:r w:rsidRPr="00E81357">
        <w:rPr>
          <w:rFonts w:ascii="Times New Roman" w:hAnsi="Times New Roman"/>
        </w:rPr>
        <w:t>Maceió-AL</w:t>
      </w:r>
      <w:proofErr w:type="spellEnd"/>
      <w:r w:rsidRPr="00E81357">
        <w:rPr>
          <w:rFonts w:ascii="Times New Roman" w:hAnsi="Times New Roman"/>
        </w:rPr>
        <w:t xml:space="preserve">, </w:t>
      </w:r>
      <w:r w:rsidR="00B14761">
        <w:rPr>
          <w:rFonts w:ascii="Times New Roman" w:hAnsi="Times New Roman"/>
        </w:rPr>
        <w:t>24</w:t>
      </w:r>
      <w:r w:rsidRPr="00E81357">
        <w:rPr>
          <w:rFonts w:ascii="Times New Roman" w:hAnsi="Times New Roman"/>
        </w:rPr>
        <w:t xml:space="preserve"> de </w:t>
      </w:r>
      <w:r w:rsidR="00B14761">
        <w:rPr>
          <w:rFonts w:ascii="Times New Roman" w:hAnsi="Times New Roman"/>
        </w:rPr>
        <w:t>fever</w:t>
      </w:r>
      <w:r w:rsidR="00C25090" w:rsidRPr="00E81357">
        <w:rPr>
          <w:rFonts w:ascii="Times New Roman" w:hAnsi="Times New Roman"/>
        </w:rPr>
        <w:t>ei</w:t>
      </w:r>
      <w:r w:rsidRPr="00E81357">
        <w:rPr>
          <w:rFonts w:ascii="Times New Roman" w:hAnsi="Times New Roman"/>
        </w:rPr>
        <w:t>ro de 202</w:t>
      </w:r>
      <w:r w:rsidR="00C25090" w:rsidRPr="00E81357">
        <w:rPr>
          <w:rFonts w:ascii="Times New Roman" w:hAnsi="Times New Roman"/>
        </w:rPr>
        <w:t>2</w:t>
      </w:r>
      <w:r w:rsidRPr="00E81357">
        <w:rPr>
          <w:rFonts w:ascii="Times New Roman" w:hAnsi="Times New Roman"/>
        </w:rPr>
        <w:t>.</w:t>
      </w:r>
    </w:p>
    <w:p w14:paraId="3E612B63" w14:textId="77777777" w:rsidR="00D36DE6" w:rsidRPr="00E81357" w:rsidRDefault="00D36DE6" w:rsidP="0021066A">
      <w:pPr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D36DE6" w:rsidRPr="00E81357" w14:paraId="3E612B67" w14:textId="77777777" w:rsidTr="00DD6661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3E612B64" w14:textId="77777777" w:rsidR="00D36DE6" w:rsidRPr="00E81357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3E612B65" w14:textId="77777777" w:rsidR="00D36DE6" w:rsidRPr="00E81357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3E612B66" w14:textId="77777777" w:rsidR="00D36DE6" w:rsidRPr="00E81357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Assinatura</w:t>
            </w:r>
          </w:p>
        </w:tc>
      </w:tr>
      <w:tr w:rsidR="00D36DE6" w:rsidRPr="00E81357" w14:paraId="3E612B6E" w14:textId="77777777" w:rsidTr="00DD6661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3E612B68" w14:textId="77777777" w:rsidR="00D36DE6" w:rsidRPr="00E81357" w:rsidRDefault="00D36DE6" w:rsidP="00DD6661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3E612B69" w14:textId="77777777" w:rsidR="00D36DE6" w:rsidRPr="00E81357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6A" w14:textId="77777777" w:rsidR="00D36DE6" w:rsidRPr="00E81357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6B" w14:textId="77777777" w:rsidR="00D36DE6" w:rsidRPr="00E81357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6C" w14:textId="77777777" w:rsidR="00D36DE6" w:rsidRPr="00E81357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3E612B6D" w14:textId="77777777" w:rsidR="00D36DE6" w:rsidRPr="00E81357" w:rsidRDefault="00D36DE6" w:rsidP="00DD6661">
            <w:pPr>
              <w:jc w:val="center"/>
              <w:rPr>
                <w:rFonts w:ascii="Times New Roman" w:hAnsi="Times New Roman"/>
              </w:rPr>
            </w:pPr>
          </w:p>
        </w:tc>
      </w:tr>
      <w:tr w:rsidR="00AF2E1C" w:rsidRPr="00E81357" w14:paraId="3E612B75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6F" w14:textId="6E2D9D99" w:rsidR="00AF2E1C" w:rsidRPr="00E81357" w:rsidRDefault="00AF2E1C" w:rsidP="00AF2E1C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70" w14:textId="1E616BDE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71" w14:textId="6E211DF8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72" w14:textId="7952BAAB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73" w14:textId="507D7C95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3E612B74" w14:textId="77777777" w:rsidR="00AF2E1C" w:rsidRPr="00E81357" w:rsidRDefault="00AF2E1C" w:rsidP="00AF2E1C">
            <w:pPr>
              <w:rPr>
                <w:rFonts w:ascii="Times New Roman" w:hAnsi="Times New Roman"/>
              </w:rPr>
            </w:pPr>
          </w:p>
        </w:tc>
      </w:tr>
      <w:tr w:rsidR="00AF2E1C" w:rsidRPr="00E81357" w14:paraId="3E612B7C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76" w14:textId="0E010B01" w:rsidR="00AF2E1C" w:rsidRPr="00E81357" w:rsidRDefault="00AF2E1C" w:rsidP="00AF2E1C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77" w14:textId="53965864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78" w14:textId="617DB0AF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79" w14:textId="6D3B3A1B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7A" w14:textId="3A3F7783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E612B7B" w14:textId="77777777" w:rsidR="00AF2E1C" w:rsidRPr="00E81357" w:rsidRDefault="00AF2E1C" w:rsidP="00AF2E1C">
            <w:pPr>
              <w:rPr>
                <w:rFonts w:ascii="Times New Roman" w:hAnsi="Times New Roman"/>
              </w:rPr>
            </w:pPr>
          </w:p>
        </w:tc>
      </w:tr>
      <w:tr w:rsidR="00AF2E1C" w:rsidRPr="00E81357" w14:paraId="3E612B83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7D" w14:textId="261DDFAE" w:rsidR="00AF2E1C" w:rsidRPr="00E81357" w:rsidRDefault="00AF2E1C" w:rsidP="00AF2E1C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Cylleide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7E" w14:textId="19642C53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7F" w14:textId="65CF1E57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80" w14:textId="0985635A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81" w14:textId="2865EAB3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3E612B82" w14:textId="77777777" w:rsidR="00AF2E1C" w:rsidRPr="00E81357" w:rsidRDefault="00AF2E1C" w:rsidP="00AF2E1C">
            <w:pPr>
              <w:rPr>
                <w:rFonts w:ascii="Times New Roman" w:hAnsi="Times New Roman"/>
              </w:rPr>
            </w:pPr>
          </w:p>
        </w:tc>
      </w:tr>
      <w:tr w:rsidR="00AF2E1C" w:rsidRPr="00E81357" w14:paraId="3E612B8A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84" w14:textId="66457F12" w:rsidR="00AF2E1C" w:rsidRPr="00E81357" w:rsidRDefault="00AF2E1C" w:rsidP="00AF2E1C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85" w14:textId="01A731B2" w:rsidR="00AF2E1C" w:rsidRPr="00E81357" w:rsidRDefault="00382C6E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86" w14:textId="1810326A" w:rsidR="00AF2E1C" w:rsidRPr="00E81357" w:rsidRDefault="00382C6E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87" w14:textId="0B3115C5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88" w14:textId="7097B623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E612B89" w14:textId="77777777" w:rsidR="00AF2E1C" w:rsidRPr="00E81357" w:rsidRDefault="00AF2E1C" w:rsidP="00AF2E1C">
            <w:pPr>
              <w:rPr>
                <w:rFonts w:ascii="Times New Roman" w:hAnsi="Times New Roman"/>
              </w:rPr>
            </w:pPr>
          </w:p>
        </w:tc>
      </w:tr>
      <w:tr w:rsidR="00AF2E1C" w:rsidRPr="00E81357" w14:paraId="3E612B91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8B" w14:textId="572D4461" w:rsidR="00AF2E1C" w:rsidRPr="00E81357" w:rsidRDefault="00AF2E1C" w:rsidP="00AF2E1C">
            <w:pPr>
              <w:rPr>
                <w:rFonts w:ascii="Times New Roman" w:hAnsi="Times New Roman"/>
              </w:rPr>
            </w:pPr>
            <w:r w:rsidRPr="00250C14">
              <w:rPr>
                <w:rFonts w:ascii="Times New Roman" w:eastAsia="Cambria" w:hAnsi="Times New Roman"/>
              </w:rPr>
              <w:t xml:space="preserve">Letícia </w:t>
            </w:r>
            <w:proofErr w:type="spellStart"/>
            <w:r w:rsidRPr="00250C14">
              <w:rPr>
                <w:rFonts w:ascii="Times New Roman" w:eastAsia="Cambria" w:hAnsi="Times New Roman"/>
              </w:rPr>
              <w:t>Brayner</w:t>
            </w:r>
            <w:proofErr w:type="spellEnd"/>
            <w:r w:rsidRPr="00250C14">
              <w:rPr>
                <w:rFonts w:ascii="Times New Roman" w:eastAsia="Cambria" w:hAnsi="Times New Roman"/>
              </w:rPr>
              <w:t xml:space="preserve"> Ramalho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8C" w14:textId="1D901628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8D" w14:textId="3A606ED8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8E" w14:textId="487AAD1D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8F" w14:textId="0C2A2408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3E612B90" w14:textId="77777777" w:rsidR="00AF2E1C" w:rsidRPr="00E81357" w:rsidRDefault="00AF2E1C" w:rsidP="00AF2E1C">
            <w:pPr>
              <w:rPr>
                <w:rFonts w:ascii="Times New Roman" w:hAnsi="Times New Roman"/>
              </w:rPr>
            </w:pPr>
          </w:p>
        </w:tc>
      </w:tr>
      <w:tr w:rsidR="00AF2E1C" w:rsidRPr="00E81357" w14:paraId="3E612B98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92" w14:textId="05860CD0" w:rsidR="00AF2E1C" w:rsidRPr="00E81357" w:rsidRDefault="00AF2E1C" w:rsidP="00AF2E1C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Josemée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93" w14:textId="3C0059A7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94" w14:textId="5C5CE20E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95" w14:textId="5F9097E7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96" w14:textId="7AFF0C85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E612B97" w14:textId="77777777" w:rsidR="00AF2E1C" w:rsidRPr="00E81357" w:rsidRDefault="00AF2E1C" w:rsidP="00AF2E1C">
            <w:pPr>
              <w:rPr>
                <w:rFonts w:ascii="Times New Roman" w:hAnsi="Times New Roman"/>
              </w:rPr>
            </w:pPr>
          </w:p>
        </w:tc>
      </w:tr>
      <w:tr w:rsidR="00AF2E1C" w:rsidRPr="00E81357" w14:paraId="3E612B9F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99" w14:textId="2BDDDE2F" w:rsidR="00AF2E1C" w:rsidRPr="00E81357" w:rsidRDefault="00AF2E1C" w:rsidP="00AF2E1C">
            <w:pPr>
              <w:rPr>
                <w:rFonts w:ascii="Times New Roman" w:hAnsi="Times New Roman"/>
              </w:rPr>
            </w:pPr>
            <w:r w:rsidRPr="00F441C4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9A" w14:textId="450D682C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9B" w14:textId="08B02C92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9C" w14:textId="4F7CA95E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9D" w14:textId="7ACDCE95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E612B9E" w14:textId="77777777" w:rsidR="00AF2E1C" w:rsidRPr="00E81357" w:rsidRDefault="00AF2E1C" w:rsidP="00AF2E1C">
            <w:pPr>
              <w:rPr>
                <w:rFonts w:ascii="Times New Roman" w:hAnsi="Times New Roman"/>
              </w:rPr>
            </w:pPr>
          </w:p>
        </w:tc>
      </w:tr>
      <w:tr w:rsidR="00AF2E1C" w:rsidRPr="00E81357" w14:paraId="3E612BA6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A0" w14:textId="40EEF4D6" w:rsidR="00AF2E1C" w:rsidRPr="00E81357" w:rsidRDefault="00AF2E1C" w:rsidP="00AF2E1C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A1" w14:textId="18852861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A2" w14:textId="68063B42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A3" w14:textId="238A7F11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A4" w14:textId="1DC0B8DD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E612BA5" w14:textId="77777777" w:rsidR="00AF2E1C" w:rsidRPr="00E81357" w:rsidRDefault="00AF2E1C" w:rsidP="00AF2E1C">
            <w:pPr>
              <w:rPr>
                <w:rFonts w:ascii="Times New Roman" w:hAnsi="Times New Roman"/>
              </w:rPr>
            </w:pPr>
          </w:p>
        </w:tc>
      </w:tr>
      <w:tr w:rsidR="00AF2E1C" w:rsidRPr="00E81357" w14:paraId="3E612BAD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A7" w14:textId="38BD58CF" w:rsidR="00AF2E1C" w:rsidRPr="00E81357" w:rsidRDefault="00AF2E1C" w:rsidP="00AF2E1C">
            <w:pPr>
              <w:rPr>
                <w:rFonts w:ascii="Times New Roman" w:hAnsi="Times New Roman"/>
              </w:rPr>
            </w:pPr>
            <w:r w:rsidRPr="002215B3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A8" w14:textId="79226A2D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A9" w14:textId="78A6E01A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AA" w14:textId="01D4D5CF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AB" w14:textId="755B6082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E612BAC" w14:textId="77777777" w:rsidR="00AF2E1C" w:rsidRPr="00E81357" w:rsidRDefault="00AF2E1C" w:rsidP="00AF2E1C">
            <w:pPr>
              <w:rPr>
                <w:rFonts w:ascii="Times New Roman" w:hAnsi="Times New Roman"/>
              </w:rPr>
            </w:pPr>
          </w:p>
        </w:tc>
      </w:tr>
      <w:tr w:rsidR="00AF2E1C" w:rsidRPr="00E81357" w14:paraId="3E612BB4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612BAE" w14:textId="019F6A29" w:rsidR="00AF2E1C" w:rsidRPr="00E81357" w:rsidRDefault="00AF2E1C" w:rsidP="00AF2E1C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AF" w14:textId="6BEA951A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82C6E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612BB0" w14:textId="5AC5551F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382C6E">
              <w:rPr>
                <w:rFonts w:ascii="Times New Roman" w:hAnsi="Times New Roman"/>
              </w:rPr>
              <w:t>1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612BB1" w14:textId="2B7B0E9B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612BB2" w14:textId="3F4825EE" w:rsidR="00AF2E1C" w:rsidRPr="00E81357" w:rsidRDefault="00AF2E1C" w:rsidP="00AF2E1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3E612BB3" w14:textId="77777777" w:rsidR="00AF2E1C" w:rsidRPr="00E81357" w:rsidRDefault="00AF2E1C" w:rsidP="00AF2E1C">
            <w:pPr>
              <w:rPr>
                <w:rFonts w:ascii="Times New Roman" w:hAnsi="Times New Roman"/>
              </w:rPr>
            </w:pPr>
          </w:p>
        </w:tc>
      </w:tr>
    </w:tbl>
    <w:p w14:paraId="3E612BB5" w14:textId="77777777" w:rsidR="0026113D" w:rsidRDefault="0026113D" w:rsidP="00D36DE6">
      <w:pPr>
        <w:rPr>
          <w:rFonts w:ascii="Times New Roman" w:hAnsi="Times New Roman"/>
        </w:rPr>
      </w:pPr>
    </w:p>
    <w:p w14:paraId="4E472972" w14:textId="77777777" w:rsidR="00FB4073" w:rsidRDefault="00FB4073" w:rsidP="00D36DE6">
      <w:pPr>
        <w:rPr>
          <w:rFonts w:ascii="Times New Roman" w:hAnsi="Times New Roman"/>
        </w:rPr>
      </w:pPr>
    </w:p>
    <w:p w14:paraId="00042BB7" w14:textId="77777777" w:rsidR="00FB4073" w:rsidRDefault="00FB4073" w:rsidP="00D36DE6">
      <w:pPr>
        <w:rPr>
          <w:rFonts w:ascii="Times New Roman" w:hAnsi="Times New Roman"/>
        </w:rPr>
      </w:pPr>
    </w:p>
    <w:p w14:paraId="1A1006EC" w14:textId="77777777" w:rsidR="00FB4073" w:rsidRDefault="00FB4073" w:rsidP="00D36DE6">
      <w:pPr>
        <w:rPr>
          <w:rFonts w:ascii="Times New Roman" w:hAnsi="Times New Roman"/>
        </w:rPr>
      </w:pPr>
    </w:p>
    <w:p w14:paraId="6286F2A0" w14:textId="77777777" w:rsidR="00FB4073" w:rsidRDefault="00FB4073" w:rsidP="00D36DE6">
      <w:pPr>
        <w:rPr>
          <w:rFonts w:ascii="Times New Roman" w:hAnsi="Times New Roman"/>
        </w:rPr>
      </w:pPr>
    </w:p>
    <w:p w14:paraId="7AF82D96" w14:textId="77777777" w:rsidR="00FB4073" w:rsidRDefault="00FB4073" w:rsidP="00D36DE6">
      <w:pPr>
        <w:rPr>
          <w:rFonts w:ascii="Times New Roman" w:hAnsi="Times New Roman"/>
        </w:rPr>
      </w:pPr>
    </w:p>
    <w:p w14:paraId="145DA3DD" w14:textId="77777777" w:rsidR="00FB4073" w:rsidRDefault="00FB4073" w:rsidP="00D36DE6">
      <w:pPr>
        <w:rPr>
          <w:rFonts w:ascii="Times New Roman" w:hAnsi="Times New Roman"/>
        </w:rPr>
      </w:pPr>
    </w:p>
    <w:p w14:paraId="03019A68" w14:textId="77777777" w:rsidR="00FB4073" w:rsidRDefault="00FB4073" w:rsidP="00D36DE6">
      <w:pPr>
        <w:rPr>
          <w:rFonts w:ascii="Times New Roman" w:hAnsi="Times New Roman"/>
        </w:rPr>
      </w:pPr>
    </w:p>
    <w:p w14:paraId="1583A30C" w14:textId="77777777" w:rsidR="00FB4073" w:rsidRDefault="00FB4073" w:rsidP="00D36DE6">
      <w:pPr>
        <w:rPr>
          <w:rFonts w:ascii="Times New Roman" w:hAnsi="Times New Roman"/>
        </w:rPr>
      </w:pPr>
    </w:p>
    <w:p w14:paraId="4605CC89" w14:textId="77777777" w:rsidR="00FB4073" w:rsidRDefault="00FB4073" w:rsidP="00D36DE6">
      <w:pPr>
        <w:rPr>
          <w:rFonts w:ascii="Times New Roman" w:hAnsi="Times New Roman"/>
        </w:rPr>
      </w:pPr>
    </w:p>
    <w:p w14:paraId="32D4B87B" w14:textId="77777777" w:rsidR="00FB4073" w:rsidRDefault="00FB4073" w:rsidP="00FB4073">
      <w:pPr>
        <w:jc w:val="center"/>
        <w:rPr>
          <w:rFonts w:ascii="Times New Roman" w:hAnsi="Times New Roman"/>
          <w:b/>
          <w:color w:val="000000" w:themeColor="text1"/>
          <w:u w:val="single"/>
        </w:rPr>
      </w:pPr>
      <w:r>
        <w:rPr>
          <w:rFonts w:ascii="Times New Roman" w:hAnsi="Times New Roman"/>
          <w:b/>
          <w:color w:val="000000" w:themeColor="text1"/>
          <w:u w:val="single"/>
        </w:rPr>
        <w:lastRenderedPageBreak/>
        <w:t xml:space="preserve">CARTA ABERTA SOBRE A VENDA E </w:t>
      </w:r>
    </w:p>
    <w:p w14:paraId="25B61C67" w14:textId="77777777" w:rsidR="00FB4073" w:rsidRDefault="00FB4073" w:rsidP="00FB4073">
      <w:pPr>
        <w:jc w:val="center"/>
        <w:rPr>
          <w:rFonts w:ascii="Times New Roman" w:hAnsi="Times New Roman"/>
          <w:b/>
          <w:color w:val="000000" w:themeColor="text1"/>
          <w:u w:val="single"/>
        </w:rPr>
      </w:pPr>
      <w:r>
        <w:rPr>
          <w:rFonts w:ascii="Times New Roman" w:hAnsi="Times New Roman"/>
          <w:b/>
          <w:color w:val="000000" w:themeColor="text1"/>
          <w:u w:val="single"/>
        </w:rPr>
        <w:t xml:space="preserve">TRANSFERÊNCIA DO CONTROLE DA BRASKEM </w:t>
      </w:r>
    </w:p>
    <w:p w14:paraId="566C6D77" w14:textId="77777777" w:rsidR="00FB4073" w:rsidRDefault="00FB4073" w:rsidP="00FB4073">
      <w:pPr>
        <w:ind w:firstLine="708"/>
        <w:jc w:val="both"/>
        <w:rPr>
          <w:rFonts w:ascii="Times New Roman" w:hAnsi="Times New Roman"/>
          <w:color w:val="000000" w:themeColor="text1"/>
        </w:rPr>
      </w:pPr>
    </w:p>
    <w:p w14:paraId="028B9581" w14:textId="77777777" w:rsidR="00CC680B" w:rsidRDefault="00FB4073" w:rsidP="00FB4073">
      <w:pPr>
        <w:ind w:firstLine="708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As atuais controladoras da empresa Braskem, </w:t>
      </w:r>
      <w:proofErr w:type="spellStart"/>
      <w:r>
        <w:rPr>
          <w:rFonts w:cstheme="minorHAnsi"/>
          <w:color w:val="000000" w:themeColor="text1"/>
        </w:rPr>
        <w:t>Novonor</w:t>
      </w:r>
      <w:proofErr w:type="spellEnd"/>
      <w:r>
        <w:rPr>
          <w:rFonts w:cstheme="minorHAnsi"/>
          <w:color w:val="000000" w:themeColor="text1"/>
        </w:rPr>
        <w:t xml:space="preserve"> e Petrobras, encaminharam comunicado à Comissão de Valores Mobiliários (CVM) no Brasil e à </w:t>
      </w:r>
      <w:proofErr w:type="spellStart"/>
      <w:r>
        <w:rPr>
          <w:rFonts w:cstheme="minorHAnsi"/>
          <w:color w:val="000000" w:themeColor="text1"/>
        </w:rPr>
        <w:t>Securities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and</w:t>
      </w:r>
      <w:proofErr w:type="spellEnd"/>
      <w:r>
        <w:rPr>
          <w:rFonts w:cstheme="minorHAnsi"/>
          <w:color w:val="000000" w:themeColor="text1"/>
        </w:rPr>
        <w:t xml:space="preserve"> Exchange Commission, órgão regulador do mercado de capitais nos Estados Unidos, com o objetivo de informá-las da venda das suas ações preferenciais, a partir de 31 de janeiro de 2022. Elas esperam obter com essa transação cerca de 8 bilhões de reais. Em seguida, em data a ser anunciada, iniciarão a venda das ações ordinárias em seu poder, finalizando suas participações na empresa </w:t>
      </w:r>
      <w:proofErr w:type="spellStart"/>
      <w:r>
        <w:rPr>
          <w:rFonts w:cstheme="minorHAnsi"/>
          <w:color w:val="000000" w:themeColor="text1"/>
        </w:rPr>
        <w:t>cloroquímica</w:t>
      </w:r>
      <w:proofErr w:type="spellEnd"/>
      <w:r>
        <w:rPr>
          <w:rFonts w:cstheme="minorHAnsi"/>
          <w:color w:val="000000" w:themeColor="text1"/>
        </w:rPr>
        <w:t>.</w:t>
      </w:r>
    </w:p>
    <w:p w14:paraId="18B0441A" w14:textId="2938C934" w:rsidR="00FB4073" w:rsidRDefault="00FB4073" w:rsidP="00FB4073">
      <w:pPr>
        <w:ind w:firstLine="708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</w:t>
      </w:r>
    </w:p>
    <w:p w14:paraId="3D315311" w14:textId="77777777" w:rsidR="00FB4073" w:rsidRDefault="00FB4073" w:rsidP="00FB4073">
      <w:pPr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Diante dessa transação, é preciso alertar o público em geral e, particularmente, os investidores quanto ao fato de que a Braskem tem um passivo não resolvido nem precificado em Alagoas, uma dívida que pode oscilar entre 7 e 12 bilhões de reais, conforme cálculo feito com base em dados fornecidos por associações de moradores e por empresas imobiliárias e da construção civil. Esses valores são relativos aos prejuízos materiais e imateriais causados pela empresa no </w:t>
      </w:r>
      <w:proofErr w:type="spellStart"/>
      <w:r>
        <w:rPr>
          <w:rFonts w:cstheme="minorHAnsi"/>
        </w:rPr>
        <w:t>megadesastre</w:t>
      </w:r>
      <w:proofErr w:type="spellEnd"/>
      <w:r>
        <w:rPr>
          <w:rFonts w:cstheme="minorHAnsi"/>
        </w:rPr>
        <w:t xml:space="preserve"> ambiental decorrente da mineração do sal-gema na cidade de Maceió, desastre que se tornou conhecido em março de 2018 e que já foi noticiado pela imprensa nacional e internacional</w:t>
      </w:r>
      <w:r>
        <w:rPr>
          <w:rStyle w:val="Refdenotaderodap"/>
          <w:rFonts w:cstheme="minorHAnsi"/>
        </w:rPr>
        <w:footnoteReference w:id="1"/>
      </w:r>
      <w:r>
        <w:rPr>
          <w:rFonts w:cstheme="minorHAnsi"/>
        </w:rPr>
        <w:t>.</w:t>
      </w:r>
    </w:p>
    <w:p w14:paraId="6D0D3138" w14:textId="77777777" w:rsidR="00CC680B" w:rsidRDefault="00CC680B" w:rsidP="00FB4073">
      <w:pPr>
        <w:ind w:firstLine="708"/>
        <w:jc w:val="both"/>
        <w:rPr>
          <w:rFonts w:cstheme="minorHAnsi"/>
        </w:rPr>
      </w:pPr>
    </w:p>
    <w:p w14:paraId="284C80CE" w14:textId="77777777" w:rsidR="00FB4073" w:rsidRDefault="00FB4073" w:rsidP="00FB4073">
      <w:pPr>
        <w:ind w:firstLine="708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Em documentos e peças publicitárias, a Braskem tem minimizado o megaproblema, classificando-o como “incidente” ou “fenômeno” geológico. Porém, o que ocorreu em Maceió foi o</w:t>
      </w:r>
      <w:r>
        <w:rPr>
          <w:rFonts w:cstheme="minorHAnsi"/>
        </w:rPr>
        <w:t xml:space="preserve"> maior crime ambiental provocado por uma indústria </w:t>
      </w:r>
      <w:proofErr w:type="spellStart"/>
      <w:r>
        <w:rPr>
          <w:rFonts w:cstheme="minorHAnsi"/>
        </w:rPr>
        <w:t>cloroquímica</w:t>
      </w:r>
      <w:proofErr w:type="spellEnd"/>
      <w:r>
        <w:rPr>
          <w:rFonts w:cstheme="minorHAnsi"/>
        </w:rPr>
        <w:t xml:space="preserve"> no mundo. A tragédia, além de ter provocado dois terremotos, </w:t>
      </w:r>
      <w:r>
        <w:rPr>
          <w:rFonts w:cstheme="minorHAnsi"/>
          <w:color w:val="000000" w:themeColor="text1"/>
        </w:rPr>
        <w:t>destroçou quatro bairros inteiros (</w:t>
      </w:r>
      <w:r>
        <w:rPr>
          <w:rFonts w:cstheme="minorHAnsi"/>
        </w:rPr>
        <w:t xml:space="preserve">Bebedouro, Bom Parto, Pinheiro e </w:t>
      </w:r>
      <w:proofErr w:type="spellStart"/>
      <w:r>
        <w:rPr>
          <w:rFonts w:cstheme="minorHAnsi"/>
        </w:rPr>
        <w:t>Mutange</w:t>
      </w:r>
      <w:proofErr w:type="spellEnd"/>
      <w:r>
        <w:rPr>
          <w:rFonts w:cstheme="minorHAnsi"/>
        </w:rPr>
        <w:t>)</w:t>
      </w:r>
      <w:r>
        <w:rPr>
          <w:rFonts w:cstheme="minorHAnsi"/>
          <w:color w:val="000000" w:themeColor="text1"/>
        </w:rPr>
        <w:t xml:space="preserve"> e impactou de forma significativa um quinto bairro (Farol), expulsando de suas casas 6% da população da cidade (55 mil pessoas) e forçando o fechamento de cerca de 5 mil empresas e indústrias de diversos portes que funcionavam na região. Grande parte das pessoas atingidas ainda não foi indenizada pelos danos materiais e imateriais sofridos. Essa realidade se repete com o município de Maceió, que, muito por anomia de seus administradores, sequer abriu negociações formais para as indenizações a que faz jus para reconstruir e reurbanizar a cidade no entorno do desastre.</w:t>
      </w:r>
    </w:p>
    <w:p w14:paraId="0853701D" w14:textId="77777777" w:rsidR="00CC680B" w:rsidRDefault="00CC680B" w:rsidP="00FB4073">
      <w:pPr>
        <w:ind w:firstLine="708"/>
        <w:jc w:val="both"/>
        <w:rPr>
          <w:rFonts w:cstheme="minorHAnsi"/>
          <w:color w:val="000000" w:themeColor="text1"/>
        </w:rPr>
      </w:pPr>
    </w:p>
    <w:p w14:paraId="19F61935" w14:textId="77777777" w:rsidR="00FB4073" w:rsidRDefault="00FB4073" w:rsidP="00FB4073">
      <w:pPr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A Braskem afirma que um acordo celebrado com o Ministério Público Federal e com o Ministério Público Estadual de Alagoas regularizou a situação da empresa em relação ao desastre que ela gerou. Não é verdade. Assinado no último dia de 2020 e referendado pela Justiça Federal depois de apenas três dias, o acordo permitiu à empresa reduzir de 40 bilhões de reais para pouco mais de 5 bilhões de reais o valor a ser pago em relação a duas ações cautelares de que era objeto. Além disso, o documento estabelece que a Braskem adote “medidas necessárias à estabilização e ao monitoramento do fenômeno [sic] da subsidência decorrente da extração do sal-gema, </w:t>
      </w:r>
      <w:r>
        <w:rPr>
          <w:rFonts w:cstheme="minorHAnsi"/>
        </w:rPr>
        <w:lastRenderedPageBreak/>
        <w:t>conforme exigido pela ANM – Agência Nacional de Mineração no plano de fechamento [das minas]”. Ou seja, o acordo não isentou a empresa de arcar com os prejuízos materiais e imateriais que ela provocou.</w:t>
      </w:r>
    </w:p>
    <w:p w14:paraId="2A6D79F2" w14:textId="77777777" w:rsidR="00CC680B" w:rsidRDefault="00CC680B" w:rsidP="00FB4073">
      <w:pPr>
        <w:ind w:firstLine="708"/>
        <w:jc w:val="both"/>
        <w:rPr>
          <w:rFonts w:cstheme="minorHAnsi"/>
        </w:rPr>
      </w:pPr>
    </w:p>
    <w:p w14:paraId="1131CCD7" w14:textId="77777777" w:rsidR="00FB4073" w:rsidRDefault="00FB4073" w:rsidP="00FB4073">
      <w:pPr>
        <w:ind w:firstLine="708"/>
        <w:jc w:val="both"/>
        <w:rPr>
          <w:rFonts w:cstheme="minorHAnsi"/>
        </w:rPr>
      </w:pPr>
      <w:r>
        <w:rPr>
          <w:rFonts w:cstheme="minorHAnsi"/>
          <w:color w:val="000000" w:themeColor="text1"/>
        </w:rPr>
        <w:t>Vale ressaltar, ainda, que a Braskem é responsável por outra ameaça a Maceió, com potencial para causar uma calamidade ainda maior na cidade: a presença da planta da empresa – um equipamento de grande porte, com mais de 40 anos de operação – em plena área urbana, colocando em perigo a vida de 150 mil pessoas que trabalham, estudam ou residem no seu perímetro ou em bairros adjacentes, incluindo o Centro comercial da capital alagoana. Além disso, a</w:t>
      </w:r>
      <w:r>
        <w:rPr>
          <w:rFonts w:cstheme="minorHAnsi"/>
        </w:rPr>
        <w:t xml:space="preserve"> corporação emprega somente 0,14% da força de trabalho de Alagoas. Ao longo dos 18 anos de operação da Braskem em seu território, Alagoas viu decrescer em 46% a renda familiar média per capita, além de não ter conseguido combater sua imensa desigualdade socioeconômica. A empresa quase nada recolhe de impostos, é beneficiada por incentivos fiscais e explora gratuitamente (não há cobrança de royalties) o principal mineral de Alagoas. A Braskem é uma enorme devedora do nosso estado.</w:t>
      </w:r>
    </w:p>
    <w:p w14:paraId="4849A67A" w14:textId="77777777" w:rsidR="002D0097" w:rsidRDefault="002D0097" w:rsidP="00FB4073">
      <w:pPr>
        <w:ind w:firstLine="708"/>
        <w:jc w:val="both"/>
        <w:rPr>
          <w:rFonts w:cstheme="minorHAnsi"/>
        </w:rPr>
      </w:pPr>
    </w:p>
    <w:p w14:paraId="3E8C0BA1" w14:textId="77777777" w:rsidR="00FB4073" w:rsidRDefault="00FB4073" w:rsidP="00FB4073">
      <w:pPr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A iniciativa desta carta é de uma congregação de cidadãos e instituições que desejam o melhor para Maceió, cansados de esperar por iniciativas políticas (que nunca vieram) de proteção da cidade e da sua população contra a sanha da Braskem. Queremos que este documento chegue, especialmente, ao conhecimento da B3 e da bolsa de valores de Nova York, onde a empresa também atua, e à CVM e à ESC, controladoras do mercado de capitais no Brasil e nos EUA, respectivamente. Esperamos que os futuros controladores saibam dos problemas que irão enfrentar e que deverá resolver sem demora, pois o espaço para postergações exauriu-se junto com nossa paciência. </w:t>
      </w:r>
      <w:r>
        <w:rPr>
          <w:rFonts w:cstheme="minorHAnsi"/>
          <w:color w:val="000000" w:themeColor="text1"/>
        </w:rPr>
        <w:t>“</w:t>
      </w:r>
      <w:r>
        <w:rPr>
          <w:rFonts w:cstheme="minorHAnsi"/>
        </w:rPr>
        <w:t>Nunca duvidem</w:t>
      </w:r>
      <w:r>
        <w:rPr>
          <w:rFonts w:eastAsia="Times New Roman" w:cstheme="minorHAnsi"/>
          <w:lang w:eastAsia="pt-BR"/>
        </w:rPr>
        <w:t xml:space="preserve"> que poucos cidadãos, comprometidos com seus semelhantes, possam mudar o </w:t>
      </w:r>
      <w:r>
        <w:rPr>
          <w:rFonts w:eastAsia="Times New Roman" w:cstheme="minorHAnsi"/>
          <w:i/>
          <w:iCs/>
          <w:lang w:eastAsia="pt-BR"/>
        </w:rPr>
        <w:t>status quo</w:t>
      </w:r>
      <w:r>
        <w:rPr>
          <w:rFonts w:eastAsia="Times New Roman" w:cstheme="minorHAnsi"/>
          <w:lang w:eastAsia="pt-BR"/>
        </w:rPr>
        <w:t xml:space="preserve"> indesejado”</w:t>
      </w:r>
      <w:r>
        <w:rPr>
          <w:rStyle w:val="Refdenotaderodap"/>
          <w:rFonts w:eastAsia="Times New Roman" w:cstheme="minorHAnsi"/>
          <w:lang w:eastAsia="pt-BR"/>
        </w:rPr>
        <w:footnoteReference w:id="2"/>
      </w:r>
      <w:r>
        <w:rPr>
          <w:rFonts w:eastAsia="Times New Roman" w:cstheme="minorHAnsi"/>
          <w:lang w:eastAsia="pt-BR"/>
        </w:rPr>
        <w:t>.</w:t>
      </w:r>
    </w:p>
    <w:p w14:paraId="1DA6E9D2" w14:textId="77777777" w:rsidR="00FB4073" w:rsidRDefault="00FB4073" w:rsidP="00FB4073">
      <w:pPr>
        <w:ind w:firstLine="708"/>
        <w:jc w:val="both"/>
        <w:rPr>
          <w:rFonts w:cstheme="minorHAnsi"/>
        </w:rPr>
      </w:pPr>
    </w:p>
    <w:p w14:paraId="2764D7F6" w14:textId="77777777" w:rsidR="00FB4073" w:rsidRDefault="00FB4073" w:rsidP="00FB4073">
      <w:pPr>
        <w:ind w:firstLine="708"/>
        <w:jc w:val="both"/>
        <w:rPr>
          <w:rFonts w:cstheme="minorHAnsi"/>
        </w:rPr>
      </w:pPr>
      <w:r>
        <w:rPr>
          <w:rFonts w:cstheme="minorHAnsi"/>
        </w:rPr>
        <w:t>Maceió, janeiro de 2022.</w:t>
      </w:r>
    </w:p>
    <w:p w14:paraId="62210C57" w14:textId="77777777" w:rsidR="00FB4073" w:rsidRPr="00E81357" w:rsidRDefault="00FB4073" w:rsidP="00D36DE6">
      <w:pPr>
        <w:rPr>
          <w:rFonts w:ascii="Times New Roman" w:hAnsi="Times New Roman"/>
        </w:rPr>
      </w:pPr>
    </w:p>
    <w:sectPr w:rsidR="00FB4073" w:rsidRPr="00E81357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31506" w14:textId="77777777" w:rsidR="008C4C8F" w:rsidRDefault="008C4C8F" w:rsidP="00EE4FDD">
      <w:r>
        <w:separator/>
      </w:r>
    </w:p>
  </w:endnote>
  <w:endnote w:type="continuationSeparator" w:id="0">
    <w:p w14:paraId="59D3FD1A" w14:textId="77777777" w:rsidR="008C4C8F" w:rsidRDefault="008C4C8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12BC0" w14:textId="77777777" w:rsidR="0099099E" w:rsidRDefault="0099099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E612BC5" wp14:editId="3E612BC6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1B04D" w14:textId="77777777" w:rsidR="008C4C8F" w:rsidRDefault="008C4C8F" w:rsidP="00EE4FDD">
      <w:r>
        <w:separator/>
      </w:r>
    </w:p>
  </w:footnote>
  <w:footnote w:type="continuationSeparator" w:id="0">
    <w:p w14:paraId="4F52975C" w14:textId="77777777" w:rsidR="008C4C8F" w:rsidRDefault="008C4C8F" w:rsidP="00EE4FDD">
      <w:r>
        <w:continuationSeparator/>
      </w:r>
    </w:p>
  </w:footnote>
  <w:footnote w:id="1">
    <w:p w14:paraId="62BDB475" w14:textId="77777777" w:rsidR="00FB4073" w:rsidRDefault="00FB4073" w:rsidP="00FB4073">
      <w:pPr>
        <w:pStyle w:val="Textodenotaderodap"/>
      </w:pPr>
      <w:r>
        <w:rPr>
          <w:rStyle w:val="Refdenotaderodap"/>
        </w:rPr>
        <w:footnoteRef/>
      </w:r>
      <w:r>
        <w:t xml:space="preserve"> Por exemplo, ver as seguintes reportagens: </w:t>
      </w:r>
      <w:hyperlink r:id="rId1" w:history="1">
        <w:r>
          <w:rPr>
            <w:rStyle w:val="Hyperlink"/>
          </w:rPr>
          <w:t>https://www.metropoles.com/materias-especiais/afundamento-de-maceio-provoca-exodo-urbano-de-55-mil-pessoas</w:t>
        </w:r>
      </w:hyperlink>
      <w:r>
        <w:t xml:space="preserve">; </w:t>
      </w:r>
      <w:hyperlink r:id="rId2" w:history="1">
        <w:r>
          <w:rPr>
            <w:rStyle w:val="Hyperlink"/>
          </w:rPr>
          <w:t>https://brasil.elpais.com/brasil/2020-01-14/o-bairro-fantasma-que-a-mineracao-deixou-para-tras-em-maceio.html</w:t>
        </w:r>
      </w:hyperlink>
      <w:r>
        <w:t>.</w:t>
      </w:r>
    </w:p>
  </w:footnote>
  <w:footnote w:id="2">
    <w:p w14:paraId="22C0E045" w14:textId="77777777" w:rsidR="00FB4073" w:rsidRDefault="00FB4073" w:rsidP="00FB4073">
      <w:pPr>
        <w:jc w:val="both"/>
        <w:rPr>
          <w:color w:val="000000" w:themeColor="text1"/>
          <w:sz w:val="20"/>
          <w:szCs w:val="20"/>
        </w:rPr>
      </w:pPr>
      <w:r>
        <w:rPr>
          <w:rStyle w:val="Refdenotaderodap"/>
        </w:rPr>
        <w:footnoteRef/>
      </w:r>
      <w:r>
        <w:rPr>
          <w:sz w:val="20"/>
          <w:szCs w:val="20"/>
        </w:rPr>
        <w:t xml:space="preserve"> A</w:t>
      </w:r>
      <w:r>
        <w:rPr>
          <w:color w:val="000000" w:themeColor="text1"/>
          <w:sz w:val="20"/>
          <w:szCs w:val="20"/>
        </w:rPr>
        <w:t>daptação de uma frase da antropóloga estadunidense Margaret Mead.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12BBA" w14:textId="77777777" w:rsidR="0099099E" w:rsidRDefault="008C4C8F">
    <w:pPr>
      <w:pStyle w:val="Cabealho"/>
    </w:pPr>
    <w:r>
      <w:rPr>
        <w:noProof/>
        <w:lang w:val="en-US"/>
      </w:rPr>
      <w:pict w14:anchorId="3E612B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12BBB" w14:textId="77777777" w:rsidR="0099099E" w:rsidRDefault="0099099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E612BC3" wp14:editId="3E612BC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E612BBC" w14:textId="77777777" w:rsidR="0099099E" w:rsidRDefault="0099099E">
    <w:pPr>
      <w:pStyle w:val="Cabealho"/>
    </w:pPr>
  </w:p>
  <w:p w14:paraId="3E612BBD" w14:textId="77777777" w:rsidR="0099099E" w:rsidRDefault="0099099E">
    <w:pPr>
      <w:pStyle w:val="Cabealho"/>
    </w:pPr>
  </w:p>
  <w:p w14:paraId="3E612BBE" w14:textId="77777777" w:rsidR="0099099E" w:rsidRDefault="0099099E">
    <w:pPr>
      <w:pStyle w:val="Cabealho"/>
    </w:pPr>
  </w:p>
  <w:p w14:paraId="3E612BBF" w14:textId="77777777" w:rsidR="0099099E" w:rsidRDefault="0099099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12BC1" w14:textId="77777777" w:rsidR="0099099E" w:rsidRDefault="008C4C8F">
    <w:pPr>
      <w:pStyle w:val="Cabealho"/>
    </w:pPr>
    <w:r>
      <w:rPr>
        <w:noProof/>
        <w:lang w:val="en-US"/>
      </w:rPr>
      <w:pict w14:anchorId="3E612B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683B"/>
    <w:rsid w:val="0002046B"/>
    <w:rsid w:val="00025A1D"/>
    <w:rsid w:val="00042213"/>
    <w:rsid w:val="00042D7E"/>
    <w:rsid w:val="00045DC0"/>
    <w:rsid w:val="00047276"/>
    <w:rsid w:val="00047C78"/>
    <w:rsid w:val="000576A1"/>
    <w:rsid w:val="00062FF0"/>
    <w:rsid w:val="0006467F"/>
    <w:rsid w:val="000706AB"/>
    <w:rsid w:val="00070DA4"/>
    <w:rsid w:val="00071FE7"/>
    <w:rsid w:val="00074EA9"/>
    <w:rsid w:val="00075DAC"/>
    <w:rsid w:val="000906BD"/>
    <w:rsid w:val="00090B26"/>
    <w:rsid w:val="000A1E66"/>
    <w:rsid w:val="000B0B2A"/>
    <w:rsid w:val="000B0FFD"/>
    <w:rsid w:val="000B3DAE"/>
    <w:rsid w:val="000B6F84"/>
    <w:rsid w:val="000C249A"/>
    <w:rsid w:val="000D2044"/>
    <w:rsid w:val="000D35C5"/>
    <w:rsid w:val="000D720B"/>
    <w:rsid w:val="000D7C4E"/>
    <w:rsid w:val="000E03CB"/>
    <w:rsid w:val="000E13D7"/>
    <w:rsid w:val="000E71D8"/>
    <w:rsid w:val="000F77BC"/>
    <w:rsid w:val="001039E0"/>
    <w:rsid w:val="00110C7B"/>
    <w:rsid w:val="00111332"/>
    <w:rsid w:val="001237AF"/>
    <w:rsid w:val="00125F92"/>
    <w:rsid w:val="00125FA2"/>
    <w:rsid w:val="00137A1A"/>
    <w:rsid w:val="001452A5"/>
    <w:rsid w:val="00145619"/>
    <w:rsid w:val="00146B0F"/>
    <w:rsid w:val="00163248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D46D5"/>
    <w:rsid w:val="001E3850"/>
    <w:rsid w:val="001E6FFE"/>
    <w:rsid w:val="001F17C9"/>
    <w:rsid w:val="001F7BC7"/>
    <w:rsid w:val="001F7F41"/>
    <w:rsid w:val="0020021B"/>
    <w:rsid w:val="0020133F"/>
    <w:rsid w:val="00201EDF"/>
    <w:rsid w:val="00203768"/>
    <w:rsid w:val="002050ED"/>
    <w:rsid w:val="0021066A"/>
    <w:rsid w:val="00212659"/>
    <w:rsid w:val="00224F8B"/>
    <w:rsid w:val="002321A1"/>
    <w:rsid w:val="00234420"/>
    <w:rsid w:val="002365B0"/>
    <w:rsid w:val="002459C0"/>
    <w:rsid w:val="0026113D"/>
    <w:rsid w:val="00263715"/>
    <w:rsid w:val="00263C0A"/>
    <w:rsid w:val="002677E4"/>
    <w:rsid w:val="002721A9"/>
    <w:rsid w:val="00274FFB"/>
    <w:rsid w:val="00283737"/>
    <w:rsid w:val="0028408B"/>
    <w:rsid w:val="00293001"/>
    <w:rsid w:val="00294C62"/>
    <w:rsid w:val="00296C47"/>
    <w:rsid w:val="002A0181"/>
    <w:rsid w:val="002A0254"/>
    <w:rsid w:val="002B0629"/>
    <w:rsid w:val="002C6094"/>
    <w:rsid w:val="002C7435"/>
    <w:rsid w:val="002D0097"/>
    <w:rsid w:val="002D1225"/>
    <w:rsid w:val="002F3380"/>
    <w:rsid w:val="002F3CA6"/>
    <w:rsid w:val="002F4492"/>
    <w:rsid w:val="002F685A"/>
    <w:rsid w:val="00312AD4"/>
    <w:rsid w:val="003156F8"/>
    <w:rsid w:val="003168DD"/>
    <w:rsid w:val="0032071C"/>
    <w:rsid w:val="00323B73"/>
    <w:rsid w:val="003536D3"/>
    <w:rsid w:val="003677B4"/>
    <w:rsid w:val="0037139A"/>
    <w:rsid w:val="003719DD"/>
    <w:rsid w:val="00373EAC"/>
    <w:rsid w:val="0037592E"/>
    <w:rsid w:val="00377405"/>
    <w:rsid w:val="00382C6E"/>
    <w:rsid w:val="00392153"/>
    <w:rsid w:val="00392D03"/>
    <w:rsid w:val="003947EE"/>
    <w:rsid w:val="003962DE"/>
    <w:rsid w:val="00396C70"/>
    <w:rsid w:val="003B0360"/>
    <w:rsid w:val="003B1FE7"/>
    <w:rsid w:val="003B5814"/>
    <w:rsid w:val="003C1EE2"/>
    <w:rsid w:val="003C2870"/>
    <w:rsid w:val="003C2B1F"/>
    <w:rsid w:val="003C4D62"/>
    <w:rsid w:val="003C7B4A"/>
    <w:rsid w:val="003D3B4C"/>
    <w:rsid w:val="003E317D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86AAC"/>
    <w:rsid w:val="00491B4E"/>
    <w:rsid w:val="004929B4"/>
    <w:rsid w:val="004B3864"/>
    <w:rsid w:val="004B3EF1"/>
    <w:rsid w:val="004B73F1"/>
    <w:rsid w:val="004C2AFF"/>
    <w:rsid w:val="004C2CF6"/>
    <w:rsid w:val="004C6E77"/>
    <w:rsid w:val="004D2242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97DCA"/>
    <w:rsid w:val="005A000D"/>
    <w:rsid w:val="005A0A56"/>
    <w:rsid w:val="005A1D36"/>
    <w:rsid w:val="005A3513"/>
    <w:rsid w:val="005A3A3D"/>
    <w:rsid w:val="005B09CA"/>
    <w:rsid w:val="005B1B5B"/>
    <w:rsid w:val="005B407C"/>
    <w:rsid w:val="005B46B6"/>
    <w:rsid w:val="005B64D6"/>
    <w:rsid w:val="005B7CD7"/>
    <w:rsid w:val="005C3160"/>
    <w:rsid w:val="005C5CB2"/>
    <w:rsid w:val="005C6235"/>
    <w:rsid w:val="005D21FD"/>
    <w:rsid w:val="005D2963"/>
    <w:rsid w:val="005D7A57"/>
    <w:rsid w:val="005E3355"/>
    <w:rsid w:val="005E33C2"/>
    <w:rsid w:val="005E6C59"/>
    <w:rsid w:val="005E7415"/>
    <w:rsid w:val="005F0D50"/>
    <w:rsid w:val="005F2081"/>
    <w:rsid w:val="005F21BF"/>
    <w:rsid w:val="005F3523"/>
    <w:rsid w:val="00633776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E763E"/>
    <w:rsid w:val="006F048A"/>
    <w:rsid w:val="006F555F"/>
    <w:rsid w:val="006F6730"/>
    <w:rsid w:val="00702FBE"/>
    <w:rsid w:val="007074B7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04B3"/>
    <w:rsid w:val="007A4B9F"/>
    <w:rsid w:val="007A689A"/>
    <w:rsid w:val="007A6FC3"/>
    <w:rsid w:val="007A7351"/>
    <w:rsid w:val="007A745E"/>
    <w:rsid w:val="007B0398"/>
    <w:rsid w:val="007B07B7"/>
    <w:rsid w:val="007B1296"/>
    <w:rsid w:val="007B4948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7F6F83"/>
    <w:rsid w:val="008165C9"/>
    <w:rsid w:val="00816849"/>
    <w:rsid w:val="00820D26"/>
    <w:rsid w:val="00842022"/>
    <w:rsid w:val="00844392"/>
    <w:rsid w:val="008457BF"/>
    <w:rsid w:val="008473F6"/>
    <w:rsid w:val="008549C5"/>
    <w:rsid w:val="008550A8"/>
    <w:rsid w:val="008637DD"/>
    <w:rsid w:val="00864DB0"/>
    <w:rsid w:val="00865DD4"/>
    <w:rsid w:val="00870A44"/>
    <w:rsid w:val="00872BDA"/>
    <w:rsid w:val="0087469A"/>
    <w:rsid w:val="00880E74"/>
    <w:rsid w:val="00890BA4"/>
    <w:rsid w:val="00890EDC"/>
    <w:rsid w:val="00891AB1"/>
    <w:rsid w:val="0089461E"/>
    <w:rsid w:val="008975CD"/>
    <w:rsid w:val="008A7B39"/>
    <w:rsid w:val="008C08B5"/>
    <w:rsid w:val="008C0CF3"/>
    <w:rsid w:val="008C2BB7"/>
    <w:rsid w:val="008C320D"/>
    <w:rsid w:val="008C4C8F"/>
    <w:rsid w:val="008C571A"/>
    <w:rsid w:val="008C6950"/>
    <w:rsid w:val="008D149B"/>
    <w:rsid w:val="008D5047"/>
    <w:rsid w:val="008D600E"/>
    <w:rsid w:val="008E385D"/>
    <w:rsid w:val="008E61DA"/>
    <w:rsid w:val="008E7415"/>
    <w:rsid w:val="008E7E9C"/>
    <w:rsid w:val="008F6644"/>
    <w:rsid w:val="00902521"/>
    <w:rsid w:val="00907C0A"/>
    <w:rsid w:val="0091532C"/>
    <w:rsid w:val="00921909"/>
    <w:rsid w:val="009228AF"/>
    <w:rsid w:val="009328C9"/>
    <w:rsid w:val="0093372E"/>
    <w:rsid w:val="00934C6A"/>
    <w:rsid w:val="00945263"/>
    <w:rsid w:val="00946651"/>
    <w:rsid w:val="00952CB9"/>
    <w:rsid w:val="00953900"/>
    <w:rsid w:val="00954619"/>
    <w:rsid w:val="00961949"/>
    <w:rsid w:val="00971CF7"/>
    <w:rsid w:val="00982BD2"/>
    <w:rsid w:val="00986532"/>
    <w:rsid w:val="00990131"/>
    <w:rsid w:val="0099099E"/>
    <w:rsid w:val="009A1B17"/>
    <w:rsid w:val="009A2801"/>
    <w:rsid w:val="009B00EB"/>
    <w:rsid w:val="009C0016"/>
    <w:rsid w:val="009C1732"/>
    <w:rsid w:val="009C42F3"/>
    <w:rsid w:val="009C4E56"/>
    <w:rsid w:val="009D02D1"/>
    <w:rsid w:val="009D51AB"/>
    <w:rsid w:val="009E1419"/>
    <w:rsid w:val="009E46E0"/>
    <w:rsid w:val="009F200C"/>
    <w:rsid w:val="009F46AC"/>
    <w:rsid w:val="00A01AA6"/>
    <w:rsid w:val="00A02508"/>
    <w:rsid w:val="00A0451F"/>
    <w:rsid w:val="00A05B1F"/>
    <w:rsid w:val="00A06A9F"/>
    <w:rsid w:val="00A06CF9"/>
    <w:rsid w:val="00A21C73"/>
    <w:rsid w:val="00A26AFB"/>
    <w:rsid w:val="00A31EB0"/>
    <w:rsid w:val="00A3738B"/>
    <w:rsid w:val="00A42B26"/>
    <w:rsid w:val="00A43C66"/>
    <w:rsid w:val="00A44606"/>
    <w:rsid w:val="00A468CD"/>
    <w:rsid w:val="00A602C9"/>
    <w:rsid w:val="00A64FC0"/>
    <w:rsid w:val="00A7366A"/>
    <w:rsid w:val="00A73BB2"/>
    <w:rsid w:val="00A746A3"/>
    <w:rsid w:val="00A75E26"/>
    <w:rsid w:val="00A84084"/>
    <w:rsid w:val="00A841D1"/>
    <w:rsid w:val="00A85B22"/>
    <w:rsid w:val="00A94AEA"/>
    <w:rsid w:val="00AA3271"/>
    <w:rsid w:val="00AB06F5"/>
    <w:rsid w:val="00AB0B02"/>
    <w:rsid w:val="00AB0B2D"/>
    <w:rsid w:val="00AB1879"/>
    <w:rsid w:val="00AB3213"/>
    <w:rsid w:val="00AE0EC9"/>
    <w:rsid w:val="00AE11F6"/>
    <w:rsid w:val="00AE3B92"/>
    <w:rsid w:val="00AF0114"/>
    <w:rsid w:val="00AF2E1C"/>
    <w:rsid w:val="00AF2FC8"/>
    <w:rsid w:val="00AF5144"/>
    <w:rsid w:val="00AF578E"/>
    <w:rsid w:val="00B001F9"/>
    <w:rsid w:val="00B12CEC"/>
    <w:rsid w:val="00B12F37"/>
    <w:rsid w:val="00B14761"/>
    <w:rsid w:val="00B16C5D"/>
    <w:rsid w:val="00B24901"/>
    <w:rsid w:val="00B30D06"/>
    <w:rsid w:val="00B33356"/>
    <w:rsid w:val="00B35BD3"/>
    <w:rsid w:val="00B47A9F"/>
    <w:rsid w:val="00B50515"/>
    <w:rsid w:val="00B52DA4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1DCB"/>
    <w:rsid w:val="00BB4058"/>
    <w:rsid w:val="00BC2501"/>
    <w:rsid w:val="00BD2541"/>
    <w:rsid w:val="00BE30B0"/>
    <w:rsid w:val="00BE7B78"/>
    <w:rsid w:val="00BF02B2"/>
    <w:rsid w:val="00BF0DF7"/>
    <w:rsid w:val="00BF3C77"/>
    <w:rsid w:val="00C017D8"/>
    <w:rsid w:val="00C10483"/>
    <w:rsid w:val="00C1318E"/>
    <w:rsid w:val="00C21981"/>
    <w:rsid w:val="00C25090"/>
    <w:rsid w:val="00C25D14"/>
    <w:rsid w:val="00C32381"/>
    <w:rsid w:val="00C323F9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2655"/>
    <w:rsid w:val="00C91572"/>
    <w:rsid w:val="00CA3B38"/>
    <w:rsid w:val="00CA6CA5"/>
    <w:rsid w:val="00CA6E1D"/>
    <w:rsid w:val="00CC680B"/>
    <w:rsid w:val="00CF1E55"/>
    <w:rsid w:val="00CF2831"/>
    <w:rsid w:val="00CF5C52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36DE6"/>
    <w:rsid w:val="00D4394C"/>
    <w:rsid w:val="00D53582"/>
    <w:rsid w:val="00D64A59"/>
    <w:rsid w:val="00D76FBC"/>
    <w:rsid w:val="00D804E7"/>
    <w:rsid w:val="00D872AA"/>
    <w:rsid w:val="00D944D6"/>
    <w:rsid w:val="00D96F60"/>
    <w:rsid w:val="00DA1F17"/>
    <w:rsid w:val="00DA4ADB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33608"/>
    <w:rsid w:val="00E37AF8"/>
    <w:rsid w:val="00E4088E"/>
    <w:rsid w:val="00E43BD5"/>
    <w:rsid w:val="00E50191"/>
    <w:rsid w:val="00E5668C"/>
    <w:rsid w:val="00E6018B"/>
    <w:rsid w:val="00E70E8B"/>
    <w:rsid w:val="00E80C27"/>
    <w:rsid w:val="00E81357"/>
    <w:rsid w:val="00E831B4"/>
    <w:rsid w:val="00E85BC0"/>
    <w:rsid w:val="00E86798"/>
    <w:rsid w:val="00E869A6"/>
    <w:rsid w:val="00E911F5"/>
    <w:rsid w:val="00E97794"/>
    <w:rsid w:val="00EA78F5"/>
    <w:rsid w:val="00EB05A2"/>
    <w:rsid w:val="00ED197F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21CC"/>
    <w:rsid w:val="00F45415"/>
    <w:rsid w:val="00F45E6A"/>
    <w:rsid w:val="00F5018D"/>
    <w:rsid w:val="00F502A5"/>
    <w:rsid w:val="00F5205C"/>
    <w:rsid w:val="00F574BB"/>
    <w:rsid w:val="00F61100"/>
    <w:rsid w:val="00F626B4"/>
    <w:rsid w:val="00F62D42"/>
    <w:rsid w:val="00F6756E"/>
    <w:rsid w:val="00F77A38"/>
    <w:rsid w:val="00F872FE"/>
    <w:rsid w:val="00F94E86"/>
    <w:rsid w:val="00F95BBA"/>
    <w:rsid w:val="00FA4844"/>
    <w:rsid w:val="00FA4D61"/>
    <w:rsid w:val="00FA618E"/>
    <w:rsid w:val="00FB4073"/>
    <w:rsid w:val="00FB488E"/>
    <w:rsid w:val="00FB48A9"/>
    <w:rsid w:val="00FC498E"/>
    <w:rsid w:val="00FC4AC7"/>
    <w:rsid w:val="00FD2829"/>
    <w:rsid w:val="00FD411D"/>
    <w:rsid w:val="00FF2C4E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612B37"/>
  <w15:docId w15:val="{0AFA7E70-BE37-4DEB-9CD9-71A15681B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B4073"/>
    <w:rPr>
      <w:rFonts w:asciiTheme="minorHAnsi" w:eastAsiaTheme="minorHAnsi" w:hAnsiTheme="minorHAnsi" w:cstheme="minorBidi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B4073"/>
    <w:rPr>
      <w:rFonts w:asciiTheme="minorHAnsi" w:eastAsiaTheme="minorHAnsi" w:hAnsiTheme="minorHAnsi" w:cstheme="minorBidi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FB407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brasil.elpais.com/brasil/2020-01-14/o-bairro-fantasma-que-a-mineracao-deixou-para-tras-em-maceio.html" TargetMode="External"/><Relationship Id="rId1" Type="http://schemas.openxmlformats.org/officeDocument/2006/relationships/hyperlink" Target="https://www.metropoles.com/materias-especiais/afundamento-de-maceio-provoca-exodo-urbano-de-55-mil-pessoa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52880-AAE5-4AAB-86FF-D0CD78BEF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3</Pages>
  <Words>927</Words>
  <Characters>5012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79</cp:revision>
  <cp:lastPrinted>2018-11-01T23:17:00Z</cp:lastPrinted>
  <dcterms:created xsi:type="dcterms:W3CDTF">2018-12-20T18:05:00Z</dcterms:created>
  <dcterms:modified xsi:type="dcterms:W3CDTF">2022-02-25T17:32:00Z</dcterms:modified>
</cp:coreProperties>
</file>