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7C" w:rsidRPr="00BB301F" w:rsidRDefault="00BC357C" w:rsidP="00BC357C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8"/>
        <w:gridCol w:w="7668"/>
      </w:tblGrid>
      <w:tr w:rsidR="00BC357C" w:rsidRPr="00BB301F" w:rsidTr="00762080">
        <w:trPr>
          <w:trHeight w:val="444"/>
        </w:trPr>
        <w:tc>
          <w:tcPr>
            <w:tcW w:w="975" w:type="pct"/>
            <w:shd w:val="clear" w:color="auto" w:fill="D9D9D9"/>
            <w:vAlign w:val="center"/>
          </w:tcPr>
          <w:p w:rsidR="00BC357C" w:rsidRPr="00BB301F" w:rsidRDefault="00BC357C" w:rsidP="00D812EB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25" w:type="pct"/>
            <w:shd w:val="clear" w:color="auto" w:fill="auto"/>
            <w:vAlign w:val="center"/>
          </w:tcPr>
          <w:p w:rsidR="00BC357C" w:rsidRPr="00465D0B" w:rsidRDefault="00557951" w:rsidP="005579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BC357C" w:rsidRPr="00BB301F" w:rsidTr="00762080">
        <w:trPr>
          <w:trHeight w:val="421"/>
        </w:trPr>
        <w:tc>
          <w:tcPr>
            <w:tcW w:w="975" w:type="pct"/>
            <w:shd w:val="clear" w:color="auto" w:fill="D9D9D9"/>
            <w:vAlign w:val="center"/>
          </w:tcPr>
          <w:p w:rsidR="00BC357C" w:rsidRPr="00BB301F" w:rsidRDefault="00BC357C" w:rsidP="00D812EB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25" w:type="pct"/>
            <w:shd w:val="clear" w:color="auto" w:fill="auto"/>
            <w:vAlign w:val="center"/>
          </w:tcPr>
          <w:p w:rsidR="00BC357C" w:rsidRPr="00465D0B" w:rsidRDefault="00557951" w:rsidP="00D812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Plenária </w:t>
            </w:r>
            <w:r w:rsidR="00762080">
              <w:rPr>
                <w:rFonts w:ascii="Times New Roman" w:hAnsi="Times New Roman"/>
              </w:rPr>
              <w:t>CAU/AL</w:t>
            </w:r>
          </w:p>
        </w:tc>
      </w:tr>
      <w:tr w:rsidR="00762080" w:rsidRPr="00BB301F" w:rsidTr="00762080">
        <w:trPr>
          <w:trHeight w:val="413"/>
        </w:trPr>
        <w:tc>
          <w:tcPr>
            <w:tcW w:w="975" w:type="pct"/>
            <w:shd w:val="clear" w:color="auto" w:fill="D9D9D9"/>
            <w:vAlign w:val="center"/>
          </w:tcPr>
          <w:p w:rsidR="00762080" w:rsidRPr="00BB301F" w:rsidRDefault="00762080" w:rsidP="00D812EB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25" w:type="pct"/>
            <w:shd w:val="clear" w:color="auto" w:fill="auto"/>
          </w:tcPr>
          <w:p w:rsidR="00762080" w:rsidRPr="00F01DD1" w:rsidRDefault="00557951" w:rsidP="00D812E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Aprovação de tabela </w:t>
            </w:r>
            <w:proofErr w:type="spellStart"/>
            <w:r>
              <w:rPr>
                <w:rFonts w:ascii="Times New Roman" w:hAnsi="Times New Roman"/>
              </w:rPr>
              <w:t>orientativa</w:t>
            </w:r>
            <w:proofErr w:type="spellEnd"/>
            <w:r>
              <w:rPr>
                <w:rFonts w:ascii="Times New Roman" w:hAnsi="Times New Roman"/>
              </w:rPr>
              <w:t xml:space="preserve"> em substituição a </w:t>
            </w:r>
            <w:r w:rsidR="0090396F">
              <w:rPr>
                <w:rFonts w:ascii="Times New Roman" w:hAnsi="Times New Roman"/>
              </w:rPr>
              <w:t>s</w:t>
            </w:r>
            <w:r w:rsidR="00762080">
              <w:rPr>
                <w:rFonts w:ascii="Times New Roman" w:hAnsi="Times New Roman"/>
              </w:rPr>
              <w:t>uspensão dos efeitos da deliberação n. 104 CED/2017-CAU/BR</w:t>
            </w:r>
          </w:p>
        </w:tc>
      </w:tr>
      <w:tr w:rsidR="00762080" w:rsidRPr="00BB301F" w:rsidTr="00D812EB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762080" w:rsidRPr="00BB301F" w:rsidRDefault="00762080" w:rsidP="00D812E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>
              <w:rPr>
                <w:rFonts w:ascii="Times New Roman" w:hAnsi="Times New Roman"/>
              </w:rPr>
              <w:t>021</w:t>
            </w:r>
            <w:r w:rsidRPr="00BB301F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 xml:space="preserve"> CED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BC357C" w:rsidRPr="00BB301F" w:rsidRDefault="00BC357C" w:rsidP="00BC357C">
      <w:pPr>
        <w:rPr>
          <w:rFonts w:ascii="Times New Roman" w:hAnsi="Times New Roman"/>
        </w:rPr>
      </w:pPr>
    </w:p>
    <w:p w:rsidR="00BC357C" w:rsidRPr="00BB301F" w:rsidRDefault="00BC357C" w:rsidP="00BC357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>
        <w:rPr>
          <w:rFonts w:ascii="Times New Roman" w:hAnsi="Times New Roman"/>
        </w:rPr>
        <w:t>ENSINO E FORMAÇÃO – CED</w:t>
      </w:r>
      <w:r w:rsidRPr="00BB301F">
        <w:rPr>
          <w:rFonts w:ascii="Times New Roman" w:hAnsi="Times New Roman"/>
        </w:rPr>
        <w:t>-CAU/AL reunida ordinariamente em Maceió-</w:t>
      </w:r>
      <w:r>
        <w:rPr>
          <w:rFonts w:ascii="Times New Roman" w:hAnsi="Times New Roman"/>
        </w:rPr>
        <w:t>AL, na sede do CAU/AL,</w:t>
      </w:r>
      <w:r w:rsidRPr="00BB301F">
        <w:rPr>
          <w:rFonts w:ascii="Times New Roman" w:hAnsi="Times New Roman"/>
        </w:rPr>
        <w:t xml:space="preserve"> no uso das competências que lhe conferem o </w:t>
      </w:r>
      <w:r w:rsidRPr="00B90539">
        <w:rPr>
          <w:rFonts w:ascii="Times New Roman" w:eastAsia="Times New Roman" w:hAnsi="Times New Roman"/>
          <w:bCs/>
          <w:lang w:eastAsia="pt-BR"/>
        </w:rPr>
        <w:t>Art. 40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BC357C" w:rsidRPr="00BB301F" w:rsidRDefault="00BC357C" w:rsidP="00BC357C">
      <w:pPr>
        <w:jc w:val="both"/>
        <w:rPr>
          <w:rFonts w:ascii="Times New Roman" w:hAnsi="Times New Roman"/>
        </w:rPr>
      </w:pPr>
    </w:p>
    <w:p w:rsidR="00BC357C" w:rsidRPr="00BB301F" w:rsidRDefault="00BC357C" w:rsidP="00BC357C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BC357C" w:rsidRPr="00BB301F" w:rsidRDefault="00BC357C" w:rsidP="00BC357C">
      <w:pPr>
        <w:pStyle w:val="Corpodetexto2"/>
        <w:rPr>
          <w:sz w:val="24"/>
          <w:szCs w:val="24"/>
        </w:rPr>
      </w:pPr>
    </w:p>
    <w:p w:rsidR="00BC357C" w:rsidRDefault="00BC357C" w:rsidP="00BC357C">
      <w:pPr>
        <w:pStyle w:val="Corpodetexto2"/>
        <w:rPr>
          <w:sz w:val="24"/>
          <w:szCs w:val="24"/>
        </w:rPr>
      </w:pPr>
      <w:r w:rsidRPr="00557951">
        <w:rPr>
          <w:sz w:val="24"/>
          <w:szCs w:val="24"/>
        </w:rPr>
        <w:t xml:space="preserve">1 </w:t>
      </w:r>
      <w:r w:rsidRPr="00D50C10">
        <w:rPr>
          <w:sz w:val="24"/>
          <w:szCs w:val="24"/>
        </w:rPr>
        <w:t xml:space="preserve">– </w:t>
      </w:r>
      <w:r w:rsidR="00557951" w:rsidRPr="00D50C10">
        <w:rPr>
          <w:sz w:val="24"/>
          <w:szCs w:val="24"/>
        </w:rPr>
        <w:t>Mediante a suspensão da deliberação n. 104 CED/2017-CAU/BR, a CED/AL delibera a</w:t>
      </w:r>
      <w:r w:rsidRPr="00D50C10">
        <w:rPr>
          <w:sz w:val="24"/>
          <w:szCs w:val="24"/>
        </w:rPr>
        <w:t xml:space="preserve">provar a Tabela </w:t>
      </w:r>
      <w:proofErr w:type="spellStart"/>
      <w:r w:rsidRPr="00D50C10">
        <w:rPr>
          <w:sz w:val="24"/>
          <w:szCs w:val="24"/>
        </w:rPr>
        <w:t>Orientativa</w:t>
      </w:r>
      <w:proofErr w:type="spellEnd"/>
      <w:r w:rsidRPr="00D50C10">
        <w:rPr>
          <w:sz w:val="24"/>
          <w:szCs w:val="24"/>
        </w:rPr>
        <w:t xml:space="preserve"> a respeito da configuração da infração ético- disciplinar de “Reserva Técnica” (anexo I)</w:t>
      </w:r>
      <w:r w:rsidR="00557951" w:rsidRPr="00D50C10">
        <w:rPr>
          <w:sz w:val="24"/>
          <w:szCs w:val="24"/>
        </w:rPr>
        <w:t>, nos moldes do CAU/BR</w:t>
      </w:r>
      <w:r w:rsidR="00D50C10" w:rsidRPr="00D50C10">
        <w:rPr>
          <w:sz w:val="24"/>
          <w:szCs w:val="24"/>
        </w:rPr>
        <w:t xml:space="preserve">, até que uma deliberação superior ou resolução CAU/BR seja editada. </w:t>
      </w:r>
    </w:p>
    <w:p w:rsidR="00D50C10" w:rsidRPr="00BB301F" w:rsidRDefault="00D50C10" w:rsidP="00BC357C">
      <w:pPr>
        <w:pStyle w:val="Corpodetexto2"/>
        <w:rPr>
          <w:sz w:val="24"/>
          <w:szCs w:val="24"/>
        </w:rPr>
      </w:pPr>
    </w:p>
    <w:p w:rsidR="00BC357C" w:rsidRPr="00BB301F" w:rsidRDefault="00BC357C" w:rsidP="00BC357C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>
        <w:rPr>
          <w:b/>
          <w:sz w:val="24"/>
          <w:szCs w:val="24"/>
        </w:rPr>
        <w:t>02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BC357C" w:rsidRPr="00BB301F" w:rsidRDefault="00BC357C" w:rsidP="00BC357C">
      <w:pPr>
        <w:pStyle w:val="Corpodetexto2"/>
        <w:rPr>
          <w:sz w:val="24"/>
          <w:szCs w:val="24"/>
        </w:rPr>
      </w:pPr>
    </w:p>
    <w:p w:rsidR="00BC357C" w:rsidRPr="00BB301F" w:rsidRDefault="00BC357C" w:rsidP="00BC357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29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setembro </w:t>
      </w:r>
      <w:r w:rsidRPr="00BB301F">
        <w:rPr>
          <w:rFonts w:ascii="Times New Roman" w:hAnsi="Times New Roman"/>
        </w:rPr>
        <w:t>de</w:t>
      </w:r>
      <w:r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2018.</w:t>
      </w:r>
    </w:p>
    <w:p w:rsidR="00BC357C" w:rsidRPr="00BB301F" w:rsidRDefault="00BC357C" w:rsidP="00BC357C">
      <w:pPr>
        <w:jc w:val="center"/>
        <w:rPr>
          <w:rFonts w:ascii="Times New Roman" w:hAnsi="Times New Roman"/>
        </w:rPr>
      </w:pPr>
    </w:p>
    <w:p w:rsidR="00BC357C" w:rsidRDefault="00BC357C" w:rsidP="00BC357C">
      <w:pPr>
        <w:rPr>
          <w:rFonts w:ascii="Times New Roman" w:hAnsi="Times New Roman"/>
          <w:b/>
          <w:bCs/>
        </w:rPr>
      </w:pPr>
    </w:p>
    <w:p w:rsidR="00BC357C" w:rsidRDefault="00BC357C" w:rsidP="00BC357C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BC357C" w:rsidRDefault="00BC357C" w:rsidP="00BC357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BC357C" w:rsidRPr="00EF2243" w:rsidRDefault="00BC357C" w:rsidP="00BC357C">
      <w:pPr>
        <w:rPr>
          <w:rFonts w:ascii="Times New Roman" w:hAnsi="Times New Roman"/>
          <w:b/>
        </w:rPr>
      </w:pPr>
    </w:p>
    <w:p w:rsidR="00BC357C" w:rsidRDefault="00BC357C" w:rsidP="00BC357C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  <w:b/>
          <w:bCs/>
        </w:rPr>
        <w:t>________________________________</w:t>
      </w:r>
    </w:p>
    <w:p w:rsidR="00BC357C" w:rsidRDefault="00BC357C" w:rsidP="00BC357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C357C" w:rsidRDefault="00BC357C" w:rsidP="00BC357C">
      <w:pPr>
        <w:rPr>
          <w:rFonts w:ascii="Times New Roman" w:hAnsi="Times New Roman"/>
        </w:rPr>
      </w:pPr>
    </w:p>
    <w:p w:rsidR="00BC357C" w:rsidRDefault="00BC357C" w:rsidP="00BC357C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________________________________</w:t>
      </w:r>
    </w:p>
    <w:p w:rsidR="00BC357C" w:rsidRPr="00BB301F" w:rsidRDefault="00BC357C" w:rsidP="00BC357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791E14" w:rsidRDefault="00791E14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BC357C"/>
    <w:p w:rsidR="00BC357C" w:rsidRDefault="00BC357C" w:rsidP="00654FEC">
      <w:pPr>
        <w:jc w:val="both"/>
      </w:pPr>
    </w:p>
    <w:p w:rsidR="003B5131" w:rsidRDefault="00BC357C" w:rsidP="003B5131">
      <w:pPr>
        <w:spacing w:before="169"/>
        <w:ind w:left="284" w:right="628"/>
        <w:jc w:val="center"/>
        <w:rPr>
          <w:rFonts w:ascii="Times New Roman" w:hAnsi="Times New Roman"/>
          <w:b/>
        </w:rPr>
      </w:pPr>
      <w:r w:rsidRPr="00337689">
        <w:rPr>
          <w:rFonts w:ascii="Times New Roman" w:hAnsi="Times New Roman"/>
          <w:b/>
        </w:rPr>
        <w:lastRenderedPageBreak/>
        <w:t>ANEXO I</w:t>
      </w:r>
    </w:p>
    <w:p w:rsidR="00BC357C" w:rsidRPr="00337689" w:rsidRDefault="003B5131" w:rsidP="003B5131">
      <w:pPr>
        <w:spacing w:before="169"/>
        <w:ind w:left="284" w:right="62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</w:t>
      </w:r>
      <w:r w:rsidRPr="00337689">
        <w:rPr>
          <w:rFonts w:ascii="Times New Roman" w:hAnsi="Times New Roman"/>
          <w:b/>
        </w:rPr>
        <w:t xml:space="preserve">abela </w:t>
      </w:r>
      <w:proofErr w:type="spellStart"/>
      <w:r w:rsidRPr="00337689">
        <w:rPr>
          <w:rFonts w:ascii="Times New Roman" w:hAnsi="Times New Roman"/>
          <w:b/>
        </w:rPr>
        <w:t>orientativa</w:t>
      </w:r>
      <w:proofErr w:type="spellEnd"/>
      <w:r w:rsidRPr="00337689">
        <w:rPr>
          <w:rFonts w:ascii="Times New Roman" w:hAnsi="Times New Roman"/>
          <w:b/>
        </w:rPr>
        <w:t xml:space="preserve"> a respeito da </w:t>
      </w:r>
      <w:r>
        <w:rPr>
          <w:rFonts w:ascii="Times New Roman" w:hAnsi="Times New Roman"/>
          <w:b/>
        </w:rPr>
        <w:t xml:space="preserve">configuração da infração ético disciplinar de </w:t>
      </w:r>
      <w:r w:rsidRPr="00337689">
        <w:rPr>
          <w:rFonts w:ascii="Times New Roman" w:hAnsi="Times New Roman"/>
          <w:b/>
        </w:rPr>
        <w:t>“reserva técnica”</w:t>
      </w:r>
      <w:r>
        <w:rPr>
          <w:rFonts w:ascii="Times New Roman" w:hAnsi="Times New Roman"/>
          <w:b/>
        </w:rPr>
        <w:t xml:space="preserve"> e sobre o relacionamento entre contratantes, fornecedores e profissionais arquitetos e urbanismo.</w:t>
      </w:r>
    </w:p>
    <w:p w:rsidR="00BC357C" w:rsidRPr="00337689" w:rsidRDefault="00BC357C" w:rsidP="00BC357C">
      <w:pPr>
        <w:pStyle w:val="Corpodetexto"/>
        <w:spacing w:before="2"/>
        <w:rPr>
          <w:b w:val="0"/>
        </w:r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4"/>
        <w:gridCol w:w="2901"/>
        <w:gridCol w:w="1121"/>
        <w:gridCol w:w="1296"/>
        <w:gridCol w:w="3039"/>
      </w:tblGrid>
      <w:tr w:rsidR="00337689" w:rsidRPr="00337689" w:rsidTr="00826987">
        <w:trPr>
          <w:trHeight w:val="510"/>
        </w:trPr>
        <w:tc>
          <w:tcPr>
            <w:tcW w:w="414" w:type="dxa"/>
            <w:shd w:val="clear" w:color="auto" w:fill="auto"/>
          </w:tcPr>
          <w:p w:rsidR="00337689" w:rsidRPr="00826987" w:rsidRDefault="00337689" w:rsidP="00D812EB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337689" w:rsidRPr="00826987" w:rsidRDefault="00337689" w:rsidP="00D812EB">
            <w:pPr>
              <w:pStyle w:val="TableParagraph"/>
              <w:ind w:left="63" w:right="6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Item</w:t>
            </w:r>
          </w:p>
        </w:tc>
        <w:tc>
          <w:tcPr>
            <w:tcW w:w="2901" w:type="dxa"/>
            <w:shd w:val="clear" w:color="auto" w:fill="auto"/>
          </w:tcPr>
          <w:p w:rsidR="00337689" w:rsidRPr="00826987" w:rsidRDefault="00337689" w:rsidP="00D812EB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337689" w:rsidRPr="00826987" w:rsidRDefault="00337689" w:rsidP="00D812EB">
            <w:pPr>
              <w:pStyle w:val="TableParagraph"/>
              <w:ind w:left="95" w:right="93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Questões</w:t>
            </w:r>
          </w:p>
        </w:tc>
        <w:tc>
          <w:tcPr>
            <w:tcW w:w="1121" w:type="dxa"/>
            <w:shd w:val="clear" w:color="auto" w:fill="auto"/>
          </w:tcPr>
          <w:p w:rsidR="00337689" w:rsidRPr="00826987" w:rsidRDefault="00337689" w:rsidP="00D812EB">
            <w:pPr>
              <w:pStyle w:val="TableParagraph"/>
              <w:spacing w:before="92" w:line="259" w:lineRule="auto"/>
              <w:ind w:left="172" w:right="154" w:hanging="9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Configura Infração?</w:t>
            </w:r>
          </w:p>
        </w:tc>
        <w:tc>
          <w:tcPr>
            <w:tcW w:w="1296" w:type="dxa"/>
            <w:shd w:val="clear" w:color="auto" w:fill="auto"/>
          </w:tcPr>
          <w:p w:rsidR="00337689" w:rsidRPr="00826987" w:rsidRDefault="00337689" w:rsidP="00D812EB">
            <w:pPr>
              <w:pStyle w:val="TableParagraph"/>
              <w:spacing w:before="2" w:line="170" w:lineRule="atLeast"/>
              <w:ind w:left="300" w:right="301" w:hanging="4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337689" w:rsidRPr="00826987" w:rsidRDefault="00337689" w:rsidP="00D812EB">
            <w:pPr>
              <w:pStyle w:val="TableParagraph"/>
              <w:spacing w:before="2" w:line="170" w:lineRule="atLeast"/>
              <w:ind w:left="300" w:right="301" w:hanging="4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COD/LEI</w:t>
            </w:r>
          </w:p>
        </w:tc>
        <w:tc>
          <w:tcPr>
            <w:tcW w:w="3039" w:type="dxa"/>
            <w:tcBorders>
              <w:right w:val="single" w:sz="8" w:space="0" w:color="000000"/>
            </w:tcBorders>
            <w:shd w:val="clear" w:color="auto" w:fill="auto"/>
          </w:tcPr>
          <w:p w:rsidR="00337689" w:rsidRPr="00826987" w:rsidRDefault="00337689" w:rsidP="00D812EB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337689" w:rsidRPr="00826987" w:rsidRDefault="00337689" w:rsidP="00D812EB">
            <w:pPr>
              <w:pStyle w:val="TableParagraph"/>
              <w:ind w:left="27" w:right="23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Observações</w:t>
            </w:r>
          </w:p>
        </w:tc>
      </w:tr>
      <w:tr w:rsidR="00337689" w:rsidRPr="00337689" w:rsidTr="00826987">
        <w:trPr>
          <w:trHeight w:val="1025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1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D812EB" w:rsidP="00D812EB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  <w:r w:rsidRPr="00D812EB">
              <w:rPr>
                <w:rFonts w:ascii="Times New Roman" w:hAnsi="Times New Roman" w:cs="Times New Roman"/>
                <w:sz w:val="13"/>
              </w:rPr>
              <w:t>Receber comissão (RT) ou benefícios do fornecedor por especificação de produto sem o conhecimento/consentimento do contratante é infração ética?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53" w:right="59" w:firstLine="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3.2.16, 3.2.18 do Cód.</w:t>
            </w:r>
          </w:p>
          <w:p w:rsidR="00337689" w:rsidRPr="00337689" w:rsidRDefault="00337689" w:rsidP="00D812EB">
            <w:pPr>
              <w:pStyle w:val="TableParagraph"/>
              <w:spacing w:before="2"/>
              <w:ind w:left="199" w:right="19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27" w:right="2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locupletação ilítica</w:t>
            </w:r>
          </w:p>
        </w:tc>
      </w:tr>
      <w:tr w:rsidR="00337689" w:rsidRPr="00337689" w:rsidTr="00826987">
        <w:trPr>
          <w:trHeight w:val="853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0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2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comissão (RT) ou benefício</w:t>
            </w:r>
            <w:r w:rsidR="00D812EB">
              <w:rPr>
                <w:rFonts w:ascii="Times New Roman" w:hAnsi="Times New Roman" w:cs="Times New Roman"/>
                <w:sz w:val="13"/>
              </w:rPr>
              <w:t>s</w:t>
            </w:r>
            <w:r w:rsidRPr="00337689">
              <w:rPr>
                <w:rFonts w:ascii="Times New Roman" w:hAnsi="Times New Roman" w:cs="Times New Roman"/>
                <w:sz w:val="13"/>
              </w:rPr>
              <w:t xml:space="preserve"> do fornecedor por especificação de produto com o conhecimento/consentimento do contratante é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2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337689" w:rsidRPr="00337689" w:rsidRDefault="00337689" w:rsidP="00D812EB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259" w:lineRule="auto"/>
              <w:ind w:left="39" w:right="37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D812EB" w:rsidP="00D812EB">
            <w:pPr>
              <w:pStyle w:val="TableParagraph"/>
              <w:spacing w:before="1" w:line="259" w:lineRule="auto"/>
              <w:ind w:left="39" w:right="37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Infringe os princípios étic</w:t>
            </w:r>
            <w:r w:rsidR="00337689" w:rsidRPr="00337689">
              <w:rPr>
                <w:rFonts w:ascii="Times New Roman" w:hAnsi="Times New Roman" w:cs="Times New Roman"/>
                <w:sz w:val="13"/>
              </w:rPr>
              <w:t>os e morais,</w:t>
            </w:r>
            <w:r>
              <w:rPr>
                <w:rFonts w:ascii="Times New Roman" w:hAnsi="Times New Roman" w:cs="Times New Roman"/>
                <w:sz w:val="13"/>
              </w:rPr>
              <w:t xml:space="preserve"> da imparcialidade, conforme it</w:t>
            </w:r>
            <w:r w:rsidR="00337689" w:rsidRPr="00337689">
              <w:rPr>
                <w:rFonts w:ascii="Times New Roman" w:hAnsi="Times New Roman" w:cs="Times New Roman"/>
                <w:sz w:val="13"/>
              </w:rPr>
              <w:t>em 3.1.2</w:t>
            </w:r>
          </w:p>
        </w:tc>
      </w:tr>
      <w:tr w:rsidR="00337689" w:rsidRPr="00337689" w:rsidTr="00826987">
        <w:trPr>
          <w:trHeight w:val="510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3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103" w:right="108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do fornecedor os honorários pela prestação de serv</w:t>
            </w:r>
            <w:r w:rsidR="00D812EB">
              <w:rPr>
                <w:rFonts w:ascii="Times New Roman" w:hAnsi="Times New Roman" w:cs="Times New Roman"/>
                <w:sz w:val="13"/>
              </w:rPr>
              <w:t>iços de arquitetura e urbanismo. M</w:t>
            </w:r>
            <w:r w:rsidRPr="00337689">
              <w:rPr>
                <w:rFonts w:ascii="Times New Roman" w:hAnsi="Times New Roman" w:cs="Times New Roman"/>
                <w:sz w:val="13"/>
              </w:rPr>
              <w:t>esmo que estes honorários tenham sido acordados entre contratante, arquiteto e o fornecedor em contrato, constitui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103" w:right="108" w:firstLine="3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89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122C16" w:rsidP="00122C16">
            <w:pPr>
              <w:pStyle w:val="TableParagraph"/>
              <w:ind w:left="146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 xml:space="preserve">Itens 3.1.2, 3.2.17 e 3.2.18  </w:t>
            </w:r>
            <w:r w:rsidR="00337689" w:rsidRPr="00337689">
              <w:rPr>
                <w:rFonts w:ascii="Times New Roman" w:hAnsi="Times New Roman" w:cs="Times New Roman"/>
                <w:sz w:val="13"/>
              </w:rPr>
              <w:t>do Código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21" w:right="16" w:firstLine="6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Exigir ou "convencer" o fornecedor   a pagar os honorários do arquiteto cria uma relação dúbia onde preço e qualidade dos produtos tendem a ficar em segundo plano. O arquiteto infrigirá também a regra 3.2.18</w:t>
            </w:r>
          </w:p>
        </w:tc>
      </w:tr>
      <w:tr w:rsidR="00337689" w:rsidRPr="00337689" w:rsidTr="00826987">
        <w:trPr>
          <w:trHeight w:val="338"/>
        </w:trPr>
        <w:tc>
          <w:tcPr>
            <w:tcW w:w="414" w:type="dxa"/>
          </w:tcPr>
          <w:p w:rsidR="00826987" w:rsidRPr="00826987" w:rsidRDefault="00826987" w:rsidP="00D812EB">
            <w:pPr>
              <w:pStyle w:val="TableParagraph"/>
              <w:spacing w:before="91"/>
              <w:ind w:left="5"/>
              <w:jc w:val="center"/>
              <w:rPr>
                <w:rFonts w:ascii="Times New Roman" w:hAnsi="Times New Roman" w:cs="Times New Roman"/>
                <w:b/>
                <w:w w:val="101"/>
              </w:rPr>
            </w:pPr>
          </w:p>
          <w:p w:rsidR="00337689" w:rsidRPr="00826987" w:rsidRDefault="00337689" w:rsidP="00D812EB">
            <w:pPr>
              <w:pStyle w:val="TableParagraph"/>
              <w:spacing w:before="91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4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7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recebimento de comissão (RT), do fornecedor do seu cliente, com a respectiva emissão de nota fiscal ou recibo de pagamento de autônomo, configura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7" w:firstLine="3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D812EB" w:rsidRDefault="00D812EB" w:rsidP="00D812EB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3.2.16, 3.2.17 e</w:t>
            </w:r>
          </w:p>
          <w:p w:rsidR="00337689" w:rsidRPr="00337689" w:rsidRDefault="00337689" w:rsidP="00D812EB">
            <w:pPr>
              <w:pStyle w:val="TableParagraph"/>
              <w:spacing w:before="1"/>
              <w:ind w:left="154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3.2.18 do Cód. de</w:t>
            </w:r>
          </w:p>
          <w:p w:rsidR="00337689" w:rsidRPr="00337689" w:rsidRDefault="00337689" w:rsidP="00D812EB">
            <w:pPr>
              <w:pStyle w:val="TableParagraph"/>
              <w:spacing w:before="13" w:line="139" w:lineRule="exact"/>
              <w:ind w:left="199" w:right="19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59" w:right="5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59" w:right="5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 xml:space="preserve">Emissão de nota fiscal </w:t>
            </w:r>
            <w:r w:rsidR="00122C16">
              <w:rPr>
                <w:rFonts w:ascii="Times New Roman" w:hAnsi="Times New Roman" w:cs="Times New Roman"/>
                <w:sz w:val="13"/>
              </w:rPr>
              <w:t xml:space="preserve">ou RPA </w:t>
            </w:r>
            <w:r w:rsidRPr="00337689">
              <w:rPr>
                <w:rFonts w:ascii="Times New Roman" w:hAnsi="Times New Roman" w:cs="Times New Roman"/>
                <w:sz w:val="13"/>
              </w:rPr>
              <w:t>não  legaliza a</w:t>
            </w:r>
            <w:r w:rsidRPr="00337689">
              <w:rPr>
                <w:rFonts w:ascii="Times New Roman" w:hAnsi="Times New Roman" w:cs="Times New Roman"/>
                <w:spacing w:val="-2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RT</w:t>
            </w:r>
          </w:p>
        </w:tc>
      </w:tr>
      <w:tr w:rsidR="00337689" w:rsidRPr="00337689" w:rsidTr="00826987">
        <w:trPr>
          <w:trHeight w:val="682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5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a comissão (RT) e repassá-la ao cliente configura infração ética?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11"/>
              </w:rPr>
            </w:pPr>
          </w:p>
          <w:p w:rsidR="00D812EB" w:rsidRPr="00337689" w:rsidRDefault="00337689" w:rsidP="00D812EB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</w:t>
            </w:r>
            <w:r w:rsidRPr="00337689">
              <w:rPr>
                <w:rFonts w:ascii="Times New Roman" w:hAnsi="Times New Roman" w:cs="Times New Roman"/>
                <w:sz w:val="13"/>
                <w:vertAlign w:val="superscript"/>
              </w:rPr>
              <w:t>o</w:t>
            </w:r>
            <w:r w:rsidRPr="00337689">
              <w:rPr>
                <w:rFonts w:ascii="Times New Roman" w:hAnsi="Times New Roman" w:cs="Times New Roman"/>
                <w:sz w:val="13"/>
              </w:rPr>
              <w:t xml:space="preserve"> 12.378/10</w:t>
            </w:r>
            <w:r w:rsidR="00D812EB">
              <w:rPr>
                <w:rFonts w:ascii="Times New Roman" w:hAnsi="Times New Roman" w:cs="Times New Roman"/>
                <w:sz w:val="13"/>
              </w:rPr>
              <w:t xml:space="preserve"> </w:t>
            </w:r>
            <w:r w:rsidR="00D812EB" w:rsidRPr="00337689">
              <w:rPr>
                <w:rFonts w:ascii="Times New Roman" w:hAnsi="Times New Roman" w:cs="Times New Roman"/>
                <w:sz w:val="13"/>
              </w:rPr>
              <w:t>e itens 3.2.16</w:t>
            </w:r>
            <w:r w:rsidR="00D812EB">
              <w:rPr>
                <w:rFonts w:ascii="Times New Roman" w:hAnsi="Times New Roman" w:cs="Times New Roman"/>
                <w:sz w:val="13"/>
              </w:rPr>
              <w:t xml:space="preserve"> </w:t>
            </w:r>
            <w:r w:rsidR="00D812EB" w:rsidRPr="00337689">
              <w:rPr>
                <w:rFonts w:ascii="Times New Roman" w:hAnsi="Times New Roman" w:cs="Times New Roman"/>
                <w:sz w:val="13"/>
              </w:rPr>
              <w:t>e</w:t>
            </w:r>
          </w:p>
          <w:p w:rsidR="00D812EB" w:rsidRPr="00337689" w:rsidRDefault="00D812EB" w:rsidP="00D812EB">
            <w:pPr>
              <w:pStyle w:val="TableParagraph"/>
              <w:spacing w:before="1"/>
              <w:ind w:left="15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3.2.18 do Cód. de</w:t>
            </w:r>
          </w:p>
          <w:p w:rsidR="00337689" w:rsidRPr="00337689" w:rsidRDefault="00D812EB" w:rsidP="00D812EB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8" w:line="259" w:lineRule="auto"/>
              <w:ind w:left="74" w:right="67" w:hanging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recebimento de comissão por parte do arquiteto é vedado por princípio ético, se o arquiteto receber em seu nome. Ele deverá indicar o nome do cliente para que o fornecedor pague diretamente ao mesmo possivelmente na forma de desconto ou de produtos extras</w:t>
            </w:r>
          </w:p>
        </w:tc>
      </w:tr>
      <w:tr w:rsidR="00337689" w:rsidRPr="00337689" w:rsidTr="00826987">
        <w:trPr>
          <w:trHeight w:val="1025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6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261" w:right="260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virtude de pontuação por quem especificar mais (vendas concretizadas) nos núcleos de lojistas configura infração ética?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337689" w:rsidRPr="00337689" w:rsidRDefault="00337689" w:rsidP="00D812EB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337689" w:rsidRPr="00337689" w:rsidRDefault="00337689" w:rsidP="00D812EB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locupletação ilítica</w:t>
            </w:r>
          </w:p>
        </w:tc>
      </w:tr>
      <w:tr w:rsidR="00337689" w:rsidRPr="00337689" w:rsidTr="00826987">
        <w:trPr>
          <w:trHeight w:val="1025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7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6" w:right="78" w:firstLine="6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sorteios promovidos por fornecedores, sendo levada em consideração a quantidade especificada pelo arquiteto, é infração ética?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337689" w:rsidRPr="00337689" w:rsidRDefault="00337689" w:rsidP="00D812EB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D812EB" w:rsidP="00D812EB">
            <w:pPr>
              <w:pStyle w:val="TableParagraph"/>
              <w:spacing w:line="259" w:lineRule="auto"/>
              <w:ind w:left="135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V</w:t>
            </w:r>
            <w:r w:rsidR="00337689" w:rsidRPr="00337689">
              <w:rPr>
                <w:rFonts w:ascii="Times New Roman" w:hAnsi="Times New Roman" w:cs="Times New Roman"/>
                <w:sz w:val="13"/>
              </w:rPr>
              <w:t>inculação do direito de participar das premiações com as indicações (especificações) feitas aos clientes</w:t>
            </w:r>
          </w:p>
        </w:tc>
      </w:tr>
      <w:tr w:rsidR="00337689" w:rsidRPr="00337689" w:rsidTr="00826987">
        <w:trPr>
          <w:trHeight w:val="1025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8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8" w:line="259" w:lineRule="auto"/>
              <w:ind w:left="173" w:right="179" w:firstLine="10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8" w:line="259" w:lineRule="auto"/>
              <w:ind w:left="173" w:right="179" w:firstLine="10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por qualidade do projeto pelos núcleos de</w:t>
            </w:r>
          </w:p>
          <w:p w:rsidR="00337689" w:rsidRPr="00337689" w:rsidRDefault="00337689" w:rsidP="00D812EB">
            <w:pPr>
              <w:pStyle w:val="TableParagraph"/>
              <w:spacing w:before="1" w:line="139" w:lineRule="exact"/>
              <w:ind w:left="95" w:right="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lojistas configura infração ética?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importante que o júri seja isento e haja a presença de pelo menos um arquiteto; deverão ser estabelecidos critérios éticos para recebimento de premiações</w:t>
            </w:r>
          </w:p>
        </w:tc>
      </w:tr>
      <w:tr w:rsidR="00337689" w:rsidRPr="00337689" w:rsidTr="00826987">
        <w:trPr>
          <w:trHeight w:val="681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9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191" w:right="195" w:firstLine="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 (viagens, objetos, bens, etc.) por qualidade em concurso realizado por fornecedor, configura infração?</w:t>
            </w: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importante que o júri seja isento e haja a presença de pelo menos um arquiteto. Deverão ser estabelecidos critérios éticos para o recebimento de premiações</w:t>
            </w:r>
          </w:p>
        </w:tc>
      </w:tr>
      <w:tr w:rsidR="00337689" w:rsidRPr="00337689" w:rsidTr="00826987">
        <w:trPr>
          <w:trHeight w:val="682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98" w:right="104" w:firstLine="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por pontuação de vendas, e doá-los para instituições e afins, para finalidade social/filantrópica, configura infração ética?</w:t>
            </w: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98" w:right="104" w:firstLine="8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337689" w:rsidRPr="00337689" w:rsidRDefault="00337689" w:rsidP="00D812EB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firstLine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vedado ao arquiteto receber premiação por pontuação de vendas (ranking)</w:t>
            </w:r>
          </w:p>
        </w:tc>
      </w:tr>
      <w:tr w:rsidR="00337689" w:rsidRPr="00337689" w:rsidTr="00826987">
        <w:trPr>
          <w:trHeight w:val="853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32" w:right="36" w:firstLine="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sorteios promovidos por fornecedores (coquetéis, inaugurações, etc.), não relacionados à quantidade especificada pelo arquiteto, é infração ética?</w:t>
            </w:r>
          </w:p>
          <w:p w:rsidR="00337689" w:rsidRPr="00337689" w:rsidRDefault="00337689" w:rsidP="00D812EB">
            <w:pPr>
              <w:pStyle w:val="TableParagraph"/>
              <w:spacing w:before="91" w:line="259" w:lineRule="auto"/>
              <w:ind w:left="32" w:right="36" w:firstLine="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27" w:right="2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convite for realizado de forma aberta, não levando em consideração as vendas efetivadas, não configura infração ética.</w:t>
            </w:r>
          </w:p>
        </w:tc>
      </w:tr>
      <w:tr w:rsidR="00337689" w:rsidRPr="00337689" w:rsidTr="00826987">
        <w:trPr>
          <w:trHeight w:val="853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901" w:type="dxa"/>
          </w:tcPr>
          <w:p w:rsidR="00337689" w:rsidRPr="00337689" w:rsidRDefault="00337689" w:rsidP="00826987">
            <w:pPr>
              <w:pStyle w:val="TableParagraph"/>
              <w:spacing w:before="91" w:line="259" w:lineRule="auto"/>
              <w:ind w:left="76" w:right="77" w:firstLine="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arquiteto ser nomeado ganhador de um prêmio conferido por fornecedor, em que se levou em consideração a quantidade especificada e vendida, mas recusar o recebimento é infração ética?</w:t>
            </w:r>
          </w:p>
          <w:p w:rsidR="00337689" w:rsidRPr="00337689" w:rsidRDefault="00337689" w:rsidP="00826987">
            <w:pPr>
              <w:pStyle w:val="TableParagraph"/>
              <w:spacing w:before="91" w:line="259" w:lineRule="auto"/>
              <w:ind w:left="76" w:right="77" w:firstLine="4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b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27" w:right="1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recomendável que o arquiteto faça a recusa formalmente, assim que for notificado da premiação, impedindo assim sua divulgação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27" w:right="18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falta ética estar inscrito nos núcleos de lojistas?</w:t>
            </w:r>
          </w:p>
          <w:p w:rsidR="00337689" w:rsidRPr="00337689" w:rsidRDefault="00337689" w:rsidP="00D812EB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Desde que sua participação não gere prêmios por quantidade de vendas n</w:t>
            </w:r>
            <w:r w:rsidR="00757482">
              <w:rPr>
                <w:rFonts w:ascii="Times New Roman" w:hAnsi="Times New Roman" w:cs="Times New Roman"/>
                <w:sz w:val="13"/>
                <w:szCs w:val="13"/>
              </w:rPr>
              <w:t>ão há problema, uma vez que o nú</w:t>
            </w: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cleo ou associação pode convidar para cursos, concursos por qualidade, visitas técnicas etc.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brindes configura infração ética?</w:t>
            </w:r>
          </w:p>
          <w:p w:rsidR="00337689" w:rsidRPr="00337689" w:rsidRDefault="00337689" w:rsidP="00D812EB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Pode ser considerado marketing de relacionamento, desde que o valor seja relativamente irrisório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Aceitar convites para coquetéis, lançamentos, jantares, etc. de fornecedores configura infração ética?</w:t>
            </w:r>
          </w:p>
          <w:p w:rsidR="00337689" w:rsidRPr="00337689" w:rsidRDefault="00337689" w:rsidP="00D812EB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757482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Não. </w:t>
            </w:r>
            <w:r w:rsidR="00337689" w:rsidRPr="00337689">
              <w:rPr>
                <w:rFonts w:ascii="Times New Roman" w:hAnsi="Times New Roman" w:cs="Times New Roman"/>
                <w:sz w:val="13"/>
                <w:szCs w:val="13"/>
              </w:rPr>
              <w:t>Pode ser considerado marketing de relacionamento. Desde que tais eventos não sejam relacionados a lançamentos de programas de fidelização por pontuação de vendas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infração ética aceitar convite realizado por fornecedor para viagens, nacionais e internacionais, para capacitação, cursos, visitas técnicas, feiras, congressos, mostras?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757482" w:rsidP="00826987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Obs: Desde que não se enquadrem nos itens 8 e 9, ou seja, não tiverem atrelados com quatidade  de vendas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É muito importante que o arquiteto conheça em profundidade as empresas e os produtos dos fornecedores que irá especificar em seu projeto 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Constitui falta ética o arquiteto responsável pela gestão/administração de obra, ser remunerado com base em porcentagem de material, mão-de-obra e serviços correspondentes à execução?</w:t>
            </w:r>
          </w:p>
          <w:p w:rsidR="00337689" w:rsidRPr="00337689" w:rsidRDefault="00337689" w:rsidP="00D812EB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Caracteriza-se como atividade inerente à profissão relacionada ao acompanhamento da obra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É muito importante que o arquiteto conheça em profundidade as empresas e os produtos dos fornecedores que irá especificar em seu projeto 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Caso o arquiteto seja construtor e executar obras no modelo de preço fechado e for ganhador de prêmios, dados por fornecedores, por quatidade de produtos especificados, configurará infração ética?</w:t>
            </w:r>
          </w:p>
          <w:p w:rsidR="00337689" w:rsidRPr="00337689" w:rsidRDefault="00337689" w:rsidP="00D812EB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826987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37689" w:rsidRPr="00337689" w:rsidRDefault="00337689" w:rsidP="00D812EB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Devemos combater a premiação desse tipo, quantidade de venda, mesmo sendo na modalidade de preço fechado 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convidado por fornecedores a participar de publicações (livros/ revistas/ encartes) para divulgação de projetos e da boa</w:t>
            </w:r>
            <w:r w:rsidRPr="00337689">
              <w:rPr>
                <w:rFonts w:ascii="Times New Roman" w:hAnsi="Times New Roman" w:cs="Times New Roman"/>
                <w:spacing w:val="10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arquitetura é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Desde que não esteja vinculado a programas de relacionamento/pontuação/ranqueamento/similares</w:t>
            </w:r>
          </w:p>
        </w:tc>
      </w:tr>
      <w:tr w:rsidR="00337689" w:rsidRPr="00337689" w:rsidTr="00826987">
        <w:trPr>
          <w:trHeight w:val="854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Aceitar participar de publicações (livros/ revistas/ encartes) para divulgação de projetos e da boa</w:t>
            </w:r>
            <w:r w:rsidRPr="00337689">
              <w:rPr>
                <w:rFonts w:ascii="Times New Roman" w:hAnsi="Times New Roman" w:cs="Times New Roman"/>
                <w:spacing w:val="10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arquitetura, a convite de fornecedor, em que o critério utilizado para o convite</w:t>
            </w:r>
            <w:r w:rsidR="00757482">
              <w:rPr>
                <w:rFonts w:ascii="Times New Roman" w:hAnsi="Times New Roman" w:cs="Times New Roman"/>
                <w:sz w:val="13"/>
              </w:rPr>
              <w:t xml:space="preserve"> tenha sido a quantidade de especificados, configura ingração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757482" w:rsidP="00826987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Infrige os princípios éticos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95" w:right="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patrocinado por fornecedores para a participação de mostras de arquitetura e arquitetura de interiores, em que o critério utilizado para o convite não foi a quantidade vendida oriunda das especificações feitas pelo profissional, configura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95" w:right="9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7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26987" w:rsidRDefault="00826987" w:rsidP="00826987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26987" w:rsidRDefault="00826987" w:rsidP="00826987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26987" w:rsidRDefault="00826987" w:rsidP="00826987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patrocinado por fornecedores para a participação de mostras de arquitetura e arquitetura de interiores, em que o critério foi a quantidade vendida oriunda das especificações feitas pelo profissional, configura infração ética?</w:t>
            </w: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Infrige os princípios éticos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901" w:type="dxa"/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arquiteto responsável técnico pela empresa também deve ser punido no caso do funcionário ou sócio da empresa receber preiação considerada indevida?</w:t>
            </w:r>
          </w:p>
        </w:tc>
        <w:tc>
          <w:tcPr>
            <w:tcW w:w="1121" w:type="dxa"/>
          </w:tcPr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826987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296" w:type="dxa"/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funcionário, sócio ou qualquer outro arquiteto que possua vínculo com a empresa receber premiação indevida será considerado cúmplice e, por consequência, será caracterizada a falta ética</w:t>
            </w:r>
          </w:p>
        </w:tc>
      </w:tr>
      <w:tr w:rsidR="00337689" w:rsidRPr="00337689" w:rsidTr="00826987">
        <w:trPr>
          <w:trHeight w:val="828"/>
        </w:trPr>
        <w:tc>
          <w:tcPr>
            <w:tcW w:w="414" w:type="dxa"/>
            <w:tcBorders>
              <w:bottom w:val="thinThickMediumGap" w:sz="3" w:space="0" w:color="000000"/>
            </w:tcBorders>
          </w:tcPr>
          <w:p w:rsidR="00337689" w:rsidRPr="00826987" w:rsidRDefault="00337689" w:rsidP="00D812EB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37689" w:rsidRPr="00826987" w:rsidRDefault="00337689" w:rsidP="00D812EB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901" w:type="dxa"/>
            <w:tcBorders>
              <w:bottom w:val="thinThickMediumGap" w:sz="3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Outros casos não apresentados</w:t>
            </w:r>
          </w:p>
        </w:tc>
        <w:tc>
          <w:tcPr>
            <w:tcW w:w="1121" w:type="dxa"/>
            <w:tcBorders>
              <w:bottom w:val="thinThickMediumGap" w:sz="3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75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296" w:type="dxa"/>
            <w:tcBorders>
              <w:bottom w:val="thinThickMediumGap" w:sz="3" w:space="0" w:color="000000"/>
            </w:tcBorders>
          </w:tcPr>
          <w:p w:rsidR="00337689" w:rsidRPr="00337689" w:rsidRDefault="00337689" w:rsidP="00D812EB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3039" w:type="dxa"/>
            <w:tcBorders>
              <w:bottom w:val="thinThickMediumGap" w:sz="3" w:space="0" w:color="000000"/>
              <w:right w:val="single" w:sz="8" w:space="0" w:color="000000"/>
            </w:tcBorders>
          </w:tcPr>
          <w:p w:rsidR="00337689" w:rsidRPr="00337689" w:rsidRDefault="00337689" w:rsidP="00D812EB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37689" w:rsidRPr="00337689" w:rsidRDefault="00337689" w:rsidP="00D812EB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337689" w:rsidRPr="00337689" w:rsidRDefault="00337689" w:rsidP="00D812EB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Deverão ser julgados pela CAU/UF do Estado do arquiteto, cabendo recurso ao CAU/BR</w:t>
            </w:r>
          </w:p>
        </w:tc>
      </w:tr>
    </w:tbl>
    <w:p w:rsidR="00BC357C" w:rsidRPr="00337689" w:rsidRDefault="00BC357C" w:rsidP="00BC357C">
      <w:pPr>
        <w:spacing w:line="113" w:lineRule="exact"/>
        <w:jc w:val="center"/>
        <w:rPr>
          <w:rFonts w:ascii="Times New Roman" w:hAnsi="Times New Roman"/>
          <w:sz w:val="13"/>
        </w:rPr>
        <w:sectPr w:rsidR="00BC357C" w:rsidRPr="00337689" w:rsidSect="00BC357C">
          <w:headerReference w:type="default" r:id="rId8"/>
          <w:footerReference w:type="default" r:id="rId9"/>
          <w:type w:val="continuous"/>
          <w:pgSz w:w="11910" w:h="16840"/>
          <w:pgMar w:top="1660" w:right="1120" w:bottom="1420" w:left="1480" w:header="609" w:footer="1223" w:gutter="0"/>
          <w:cols w:space="720"/>
        </w:sectPr>
      </w:pPr>
    </w:p>
    <w:p w:rsidR="00BC357C" w:rsidRDefault="00BC357C" w:rsidP="00BC357C">
      <w:pPr>
        <w:pStyle w:val="Corpodetexto"/>
        <w:spacing w:before="9"/>
        <w:rPr>
          <w:sz w:val="14"/>
        </w:r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4"/>
        <w:gridCol w:w="3167"/>
        <w:gridCol w:w="855"/>
        <w:gridCol w:w="1296"/>
        <w:gridCol w:w="3039"/>
      </w:tblGrid>
      <w:tr w:rsidR="00BC357C" w:rsidTr="00D812EB">
        <w:trPr>
          <w:trHeight w:val="510"/>
        </w:trPr>
        <w:tc>
          <w:tcPr>
            <w:tcW w:w="414" w:type="dxa"/>
            <w:shd w:val="clear" w:color="auto" w:fill="00AAB8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ind w:left="63" w:right="60"/>
              <w:jc w:val="center"/>
              <w:rPr>
                <w:sz w:val="13"/>
              </w:rPr>
            </w:pPr>
            <w:r>
              <w:rPr>
                <w:sz w:val="13"/>
              </w:rPr>
              <w:t>Item</w:t>
            </w:r>
          </w:p>
        </w:tc>
        <w:tc>
          <w:tcPr>
            <w:tcW w:w="3167" w:type="dxa"/>
            <w:shd w:val="clear" w:color="auto" w:fill="00AAB8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ind w:left="95" w:right="93"/>
              <w:jc w:val="center"/>
              <w:rPr>
                <w:sz w:val="13"/>
              </w:rPr>
            </w:pPr>
            <w:r>
              <w:rPr>
                <w:sz w:val="13"/>
              </w:rPr>
              <w:t>Questões</w:t>
            </w:r>
          </w:p>
        </w:tc>
        <w:tc>
          <w:tcPr>
            <w:tcW w:w="855" w:type="dxa"/>
            <w:shd w:val="clear" w:color="auto" w:fill="00AAB8"/>
          </w:tcPr>
          <w:p w:rsidR="00BC357C" w:rsidRDefault="00BC357C" w:rsidP="00D812EB">
            <w:pPr>
              <w:pStyle w:val="TableParagraph"/>
              <w:spacing w:before="91" w:line="259" w:lineRule="auto"/>
              <w:ind w:left="172" w:right="154" w:hanging="9"/>
              <w:rPr>
                <w:sz w:val="13"/>
              </w:rPr>
            </w:pPr>
            <w:r>
              <w:rPr>
                <w:sz w:val="13"/>
              </w:rPr>
              <w:t>Configura Infração?</w:t>
            </w:r>
          </w:p>
        </w:tc>
        <w:tc>
          <w:tcPr>
            <w:tcW w:w="1296" w:type="dxa"/>
            <w:shd w:val="clear" w:color="auto" w:fill="00AAB8"/>
          </w:tcPr>
          <w:p w:rsidR="00BC357C" w:rsidRDefault="00BC357C" w:rsidP="00D812EB">
            <w:pPr>
              <w:pStyle w:val="TableParagraph"/>
              <w:spacing w:before="8"/>
              <w:ind w:left="300" w:hanging="155"/>
              <w:rPr>
                <w:sz w:val="13"/>
              </w:rPr>
            </w:pPr>
            <w:r>
              <w:rPr>
                <w:sz w:val="13"/>
              </w:rPr>
              <w:t>Item do Código de</w:t>
            </w:r>
          </w:p>
          <w:p w:rsidR="00BC357C" w:rsidRDefault="00BC357C" w:rsidP="00D812EB">
            <w:pPr>
              <w:pStyle w:val="TableParagraph"/>
              <w:spacing w:before="2" w:line="170" w:lineRule="atLeast"/>
              <w:ind w:left="300" w:right="301" w:hanging="4"/>
              <w:jc w:val="center"/>
              <w:rPr>
                <w:sz w:val="13"/>
              </w:rPr>
            </w:pPr>
            <w:r>
              <w:rPr>
                <w:sz w:val="13"/>
              </w:rPr>
              <w:t>Ética / Lei nº 12.378/2010</w:t>
            </w:r>
          </w:p>
        </w:tc>
        <w:tc>
          <w:tcPr>
            <w:tcW w:w="3039" w:type="dxa"/>
            <w:tcBorders>
              <w:right w:val="single" w:sz="8" w:space="0" w:color="000000"/>
            </w:tcBorders>
            <w:shd w:val="clear" w:color="auto" w:fill="00AAB8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ind w:left="27" w:right="23"/>
              <w:jc w:val="center"/>
              <w:rPr>
                <w:sz w:val="13"/>
              </w:rPr>
            </w:pPr>
            <w:r>
              <w:rPr>
                <w:sz w:val="13"/>
              </w:rPr>
              <w:t>Observações</w:t>
            </w:r>
          </w:p>
        </w:tc>
      </w:tr>
      <w:tr w:rsidR="00BC357C" w:rsidTr="00D812EB">
        <w:trPr>
          <w:trHeight w:val="854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14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72" w:right="77" w:firstLine="3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a emissão de nota fiscal ou recibo de pagamento de autônomo por recebimento de comissão?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sz w:val="13"/>
              </w:rPr>
            </w:pPr>
            <w:r>
              <w:rPr>
                <w:sz w:val="13"/>
              </w:rPr>
              <w:t>art. 18, VI da Lei nº 12.378/10 e itens 3.1.2, 3.2.16, 3.2.17 e</w:t>
            </w:r>
          </w:p>
          <w:p w:rsidR="00BC357C" w:rsidRDefault="00BC357C" w:rsidP="00D812EB">
            <w:pPr>
              <w:pStyle w:val="TableParagraph"/>
              <w:spacing w:before="1"/>
              <w:ind w:left="154"/>
              <w:rPr>
                <w:sz w:val="13"/>
              </w:rPr>
            </w:pPr>
            <w:r>
              <w:rPr>
                <w:sz w:val="13"/>
              </w:rPr>
              <w:t>3.2.18 do Cód. de</w:t>
            </w:r>
          </w:p>
          <w:p w:rsidR="00BC357C" w:rsidRDefault="00BC357C" w:rsidP="00D812EB">
            <w:pPr>
              <w:pStyle w:val="TableParagraph"/>
              <w:spacing w:before="13" w:line="139" w:lineRule="exact"/>
              <w:ind w:left="199" w:right="198"/>
              <w:jc w:val="center"/>
              <w:rPr>
                <w:sz w:val="13"/>
              </w:rPr>
            </w:pPr>
            <w:r>
              <w:rPr>
                <w:sz w:val="13"/>
              </w:rPr>
              <w:t>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59" w:right="53"/>
              <w:jc w:val="center"/>
              <w:rPr>
                <w:sz w:val="13"/>
              </w:rPr>
            </w:pPr>
            <w:r>
              <w:rPr>
                <w:sz w:val="13"/>
              </w:rPr>
              <w:t>Essa nota fiscal será por um serviço prestado ao cliente e não ao fornecedor. Emissão de nota fiscal não  legaliza 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RT.</w:t>
            </w:r>
          </w:p>
        </w:tc>
      </w:tr>
      <w:tr w:rsidR="00BC357C" w:rsidTr="00D812EB">
        <w:trPr>
          <w:trHeight w:val="510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spacing w:before="7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ind w:left="60" w:right="60"/>
              <w:jc w:val="center"/>
            </w:pPr>
            <w:r w:rsidRPr="00337689">
              <w:t>15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8"/>
              <w:ind w:left="173" w:hanging="36"/>
              <w:rPr>
                <w:sz w:val="13"/>
              </w:rPr>
            </w:pPr>
            <w:r>
              <w:rPr>
                <w:sz w:val="13"/>
              </w:rPr>
              <w:t>Configura infração ética o arquiteto comprar para seu</w:t>
            </w:r>
          </w:p>
          <w:p w:rsidR="00BC357C" w:rsidRDefault="00BC357C" w:rsidP="00D812EB">
            <w:pPr>
              <w:pStyle w:val="TableParagraph"/>
              <w:spacing w:before="2" w:line="170" w:lineRule="atLeast"/>
              <w:ind w:left="1402" w:hanging="1229"/>
              <w:rPr>
                <w:sz w:val="13"/>
              </w:rPr>
            </w:pPr>
            <w:r>
              <w:rPr>
                <w:sz w:val="13"/>
              </w:rPr>
              <w:t>uso, de fornecedor, produtos ou serviços a preço de custo?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ind w:left="297" w:right="297"/>
              <w:jc w:val="center"/>
              <w:rPr>
                <w:sz w:val="13"/>
              </w:rPr>
            </w:pPr>
            <w:r>
              <w:rPr>
                <w:sz w:val="13"/>
              </w:rPr>
              <w:t>Não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spacing w:before="91" w:line="259" w:lineRule="auto"/>
              <w:ind w:left="466" w:hanging="97"/>
              <w:rPr>
                <w:sz w:val="13"/>
              </w:rPr>
            </w:pPr>
            <w:r>
              <w:rPr>
                <w:sz w:val="13"/>
              </w:rPr>
              <w:t>Desde que preço não seja simbólico ou vil, caracterizandpo assim uma premiação.</w:t>
            </w:r>
          </w:p>
        </w:tc>
      </w:tr>
      <w:tr w:rsidR="00BC357C" w:rsidTr="00D812EB">
        <w:trPr>
          <w:trHeight w:val="854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16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95" w:right="97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receber comissão em produtos do fornecedor por especificação de produto com o conhecimento/consentimento do cliente?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92" w:line="259" w:lineRule="auto"/>
              <w:ind w:left="79" w:right="82" w:firstLine="1"/>
              <w:jc w:val="center"/>
              <w:rPr>
                <w:sz w:val="13"/>
              </w:rPr>
            </w:pPr>
            <w:r>
              <w:rPr>
                <w:sz w:val="13"/>
              </w:rPr>
              <w:t>art. 18, VI da Lei nº 12.378/10 e itens 3.1.2, 3.2.16 e 3.2.18</w:t>
            </w:r>
          </w:p>
          <w:p w:rsidR="00BC357C" w:rsidRDefault="00BC357C" w:rsidP="00D812EB">
            <w:pPr>
              <w:pStyle w:val="TableParagraph"/>
              <w:spacing w:before="1"/>
              <w:ind w:left="199" w:right="199"/>
              <w:jc w:val="center"/>
              <w:rPr>
                <w:sz w:val="13"/>
              </w:rPr>
            </w:pPr>
            <w:r>
              <w:rPr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C357C" w:rsidTr="00D812EB">
        <w:trPr>
          <w:trHeight w:val="1712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89"/>
              <w:ind w:left="60" w:right="60"/>
              <w:jc w:val="center"/>
            </w:pPr>
            <w:r w:rsidRPr="00337689">
              <w:t>17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103" w:right="108" w:firstLine="3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receber do fornecedor, honorários por prestação de serviços de arquitetura e urbanismo, mesmo acordado entre cliente, arquiteto e fornecedor em contrato de prestação de serviços?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89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C357C" w:rsidRDefault="00BC357C" w:rsidP="00D812EB">
            <w:pPr>
              <w:pStyle w:val="TableParagraph"/>
              <w:ind w:left="146"/>
              <w:rPr>
                <w:sz w:val="13"/>
              </w:rPr>
            </w:pPr>
            <w:r>
              <w:rPr>
                <w:sz w:val="13"/>
              </w:rPr>
              <w:t>Itens 3.1.2, 3.2.17,</w:t>
            </w:r>
          </w:p>
          <w:p w:rsidR="00BC357C" w:rsidRDefault="00BC357C" w:rsidP="00D812EB">
            <w:pPr>
              <w:pStyle w:val="TableParagraph"/>
              <w:spacing w:before="13"/>
              <w:ind w:left="79"/>
              <w:rPr>
                <w:sz w:val="13"/>
              </w:rPr>
            </w:pPr>
            <w:r>
              <w:rPr>
                <w:sz w:val="13"/>
              </w:rPr>
              <w:t>3.2.18, 4.2.7 e 4.2.10</w:t>
            </w:r>
          </w:p>
          <w:p w:rsidR="00BC357C" w:rsidRDefault="00BC357C" w:rsidP="00D812EB">
            <w:pPr>
              <w:pStyle w:val="TableParagraph"/>
              <w:spacing w:before="13"/>
              <w:ind w:left="141"/>
              <w:rPr>
                <w:sz w:val="13"/>
              </w:rPr>
            </w:pPr>
            <w:r>
              <w:rPr>
                <w:sz w:val="13"/>
              </w:rPr>
              <w:t>do Código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spacing w:before="91" w:line="259" w:lineRule="auto"/>
              <w:ind w:left="21" w:right="16" w:firstLine="6"/>
              <w:jc w:val="center"/>
              <w:rPr>
                <w:sz w:val="13"/>
              </w:rPr>
            </w:pPr>
            <w:r>
              <w:rPr>
                <w:sz w:val="13"/>
              </w:rPr>
              <w:t>Incluir de forma impositiva terceiros (os fornecedores) no contrato com o cliente fere o princípio 3.1.2 que diz que o arquiteto e urbanista deve respeitar os princípios da honestidade, da imparcialidade e da prudência com seus contratantes. Exigir ou "convencer" o fornecedor   a pagar os honorários do arquiteto cria uma relação dúbia onde preço e qualidade dos produtos tendem a ficar em segundo plano. O arquiteto ficará sempre sob suspeita nas suas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escolhas.</w:t>
            </w:r>
          </w:p>
        </w:tc>
      </w:tr>
      <w:tr w:rsidR="00BC357C" w:rsidTr="00D812EB">
        <w:trPr>
          <w:trHeight w:val="853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18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93" w:right="99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receber comissão em dinheiro do fornecedor por especificação de produto com o conhecimento/consentimento do cliente?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91" w:line="259" w:lineRule="auto"/>
              <w:ind w:left="27" w:right="31" w:firstLine="3"/>
              <w:jc w:val="center"/>
              <w:rPr>
                <w:sz w:val="13"/>
              </w:rPr>
            </w:pPr>
            <w:r>
              <w:rPr>
                <w:sz w:val="13"/>
              </w:rPr>
              <w:t>art. 18, VI da Lei nº 12.378/10 e itens 3.1.2, 3.2.16, 3.2.18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pacing w:val="-6"/>
                <w:sz w:val="13"/>
              </w:rPr>
              <w:t>do</w:t>
            </w:r>
          </w:p>
          <w:p w:rsidR="00BC357C" w:rsidRDefault="00BC357C" w:rsidP="00D812EB">
            <w:pPr>
              <w:pStyle w:val="TableParagraph"/>
              <w:spacing w:before="2"/>
              <w:ind w:left="198" w:right="199"/>
              <w:jc w:val="center"/>
              <w:rPr>
                <w:sz w:val="13"/>
              </w:rPr>
            </w:pPr>
            <w:r>
              <w:rPr>
                <w:sz w:val="13"/>
              </w:rPr>
              <w:t>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6" w:right="25"/>
              <w:jc w:val="center"/>
              <w:rPr>
                <w:sz w:val="13"/>
              </w:rPr>
            </w:pPr>
            <w:r>
              <w:rPr>
                <w:sz w:val="13"/>
              </w:rPr>
              <w:t>Fere os princípios éticos conforme item 3.1.2</w:t>
            </w:r>
          </w:p>
        </w:tc>
      </w:tr>
      <w:tr w:rsidR="00BC357C" w:rsidTr="00D812EB">
        <w:trPr>
          <w:trHeight w:val="853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19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95" w:right="97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receber comissão em produtos do fornecedor por especificação de produto sem o conhecimento/consentimento do cliente?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91" w:line="259" w:lineRule="auto"/>
              <w:ind w:left="53" w:right="59" w:firstLine="4"/>
              <w:jc w:val="center"/>
              <w:rPr>
                <w:sz w:val="13"/>
              </w:rPr>
            </w:pPr>
            <w:r>
              <w:rPr>
                <w:sz w:val="13"/>
              </w:rPr>
              <w:t>art. 18, VI da Lei nº 12.378/10 e itens 3.2.16, 3.2.18 do Cód.</w:t>
            </w:r>
          </w:p>
          <w:p w:rsidR="00BC357C" w:rsidRDefault="00BC357C" w:rsidP="00D812EB">
            <w:pPr>
              <w:pStyle w:val="TableParagraph"/>
              <w:spacing w:before="2"/>
              <w:ind w:left="199" w:right="198"/>
              <w:jc w:val="center"/>
              <w:rPr>
                <w:sz w:val="13"/>
              </w:rPr>
            </w:pPr>
            <w:r>
              <w:rPr>
                <w:sz w:val="13"/>
              </w:rPr>
              <w:t>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7" w:right="22"/>
              <w:jc w:val="center"/>
              <w:rPr>
                <w:sz w:val="13"/>
              </w:rPr>
            </w:pPr>
            <w:r>
              <w:rPr>
                <w:sz w:val="13"/>
              </w:rPr>
              <w:t>Configura a propina</w:t>
            </w:r>
          </w:p>
        </w:tc>
      </w:tr>
      <w:tr w:rsidR="00BC357C" w:rsidTr="00D812EB">
        <w:trPr>
          <w:trHeight w:val="682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spacing w:before="10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ind w:left="60" w:right="60"/>
              <w:jc w:val="center"/>
            </w:pPr>
            <w:r w:rsidRPr="00337689">
              <w:t>20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8" w:line="259" w:lineRule="auto"/>
              <w:ind w:left="191" w:right="192" w:firstLine="2"/>
              <w:jc w:val="center"/>
              <w:rPr>
                <w:sz w:val="13"/>
              </w:rPr>
            </w:pPr>
            <w:r>
              <w:rPr>
                <w:sz w:val="13"/>
              </w:rPr>
              <w:t>Receber comissão em dinheiro do fornecedor por especificação de produto sem o conhecimento/consentimento do cliente é infração</w:t>
            </w:r>
          </w:p>
          <w:p w:rsidR="00BC357C" w:rsidRDefault="00BC357C" w:rsidP="00D812EB">
            <w:pPr>
              <w:pStyle w:val="TableParagraph"/>
              <w:spacing w:before="1" w:line="139" w:lineRule="exact"/>
              <w:ind w:left="95" w:right="88"/>
              <w:jc w:val="center"/>
              <w:rPr>
                <w:sz w:val="13"/>
              </w:rPr>
            </w:pPr>
            <w:r>
              <w:rPr>
                <w:sz w:val="13"/>
              </w:rPr>
              <w:t>ética?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BC357C" w:rsidRDefault="00BC357C" w:rsidP="00D812EB">
            <w:pPr>
              <w:pStyle w:val="TableParagraph"/>
              <w:ind w:left="297" w:right="295"/>
              <w:jc w:val="center"/>
              <w:rPr>
                <w:sz w:val="13"/>
              </w:rPr>
            </w:pPr>
            <w:r>
              <w:rPr>
                <w:sz w:val="13"/>
              </w:rPr>
              <w:t>Sim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spacing w:before="8" w:line="259" w:lineRule="auto"/>
              <w:ind w:left="53" w:right="59" w:firstLine="4"/>
              <w:jc w:val="center"/>
              <w:rPr>
                <w:sz w:val="13"/>
              </w:rPr>
            </w:pPr>
            <w:r>
              <w:rPr>
                <w:sz w:val="13"/>
              </w:rPr>
              <w:t>art. 18, VI da Lei nº 12.378/10 e itens 3.2.16, 3.2.18 do Cód.</w:t>
            </w:r>
          </w:p>
          <w:p w:rsidR="00BC357C" w:rsidRDefault="00BC357C" w:rsidP="00D812EB">
            <w:pPr>
              <w:pStyle w:val="TableParagraph"/>
              <w:spacing w:before="1" w:line="139" w:lineRule="exact"/>
              <w:ind w:left="199" w:right="198"/>
              <w:jc w:val="center"/>
              <w:rPr>
                <w:sz w:val="13"/>
              </w:rPr>
            </w:pPr>
            <w:r>
              <w:rPr>
                <w:sz w:val="13"/>
              </w:rPr>
              <w:t>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BC357C" w:rsidRDefault="00BC357C" w:rsidP="00D812EB">
            <w:pPr>
              <w:pStyle w:val="TableParagraph"/>
              <w:ind w:left="27" w:right="22"/>
              <w:jc w:val="center"/>
              <w:rPr>
                <w:sz w:val="13"/>
              </w:rPr>
            </w:pPr>
            <w:r>
              <w:rPr>
                <w:sz w:val="13"/>
              </w:rPr>
              <w:t>Configura a propina</w:t>
            </w:r>
          </w:p>
        </w:tc>
      </w:tr>
      <w:tr w:rsidR="00BC357C" w:rsidTr="00D812EB">
        <w:trPr>
          <w:trHeight w:val="854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21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72" w:right="79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ser convidado por fornecedores a participar de publicações (livros/ revistas/ encartes) para divulgação de projetos e da boa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arquitetura?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7"/>
              <w:jc w:val="center"/>
              <w:rPr>
                <w:sz w:val="13"/>
              </w:rPr>
            </w:pPr>
            <w:r>
              <w:rPr>
                <w:sz w:val="13"/>
              </w:rPr>
              <w:t>Não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69" w:firstLine="162"/>
              <w:rPr>
                <w:sz w:val="13"/>
              </w:rPr>
            </w:pPr>
            <w:r>
              <w:rPr>
                <w:sz w:val="13"/>
              </w:rPr>
              <w:t>Desde que não esteja vinculado a programas de relacionamento/pontuação/ranqueamento/similares.</w:t>
            </w:r>
          </w:p>
        </w:tc>
      </w:tr>
      <w:tr w:rsidR="00BC357C" w:rsidTr="00D812EB">
        <w:trPr>
          <w:trHeight w:val="853"/>
        </w:trPr>
        <w:tc>
          <w:tcPr>
            <w:tcW w:w="414" w:type="dxa"/>
          </w:tcPr>
          <w:p w:rsidR="00BC357C" w:rsidRPr="00337689" w:rsidRDefault="00BC357C" w:rsidP="00D812EB">
            <w:pPr>
              <w:pStyle w:val="TableParagraph"/>
              <w:rPr>
                <w:rFonts w:ascii="Times New Roman"/>
              </w:rPr>
            </w:pPr>
          </w:p>
          <w:p w:rsidR="00BC357C" w:rsidRPr="00337689" w:rsidRDefault="00BC357C" w:rsidP="00D812EB">
            <w:pPr>
              <w:pStyle w:val="TableParagraph"/>
              <w:spacing w:before="75"/>
              <w:ind w:left="60" w:right="60"/>
              <w:jc w:val="center"/>
            </w:pPr>
            <w:r w:rsidRPr="00337689">
              <w:t>22</w:t>
            </w:r>
          </w:p>
        </w:tc>
        <w:tc>
          <w:tcPr>
            <w:tcW w:w="3167" w:type="dxa"/>
          </w:tcPr>
          <w:p w:rsidR="00BC357C" w:rsidRDefault="00BC357C" w:rsidP="00D812EB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95" w:right="99"/>
              <w:jc w:val="center"/>
              <w:rPr>
                <w:sz w:val="13"/>
              </w:rPr>
            </w:pPr>
            <w:r>
              <w:rPr>
                <w:sz w:val="13"/>
              </w:rPr>
              <w:t>Configura infração ética ser convidado/patrocinado por fornecedores para a participação de mostras de arquitetura e arquitetura de interiores?</w:t>
            </w:r>
          </w:p>
        </w:tc>
        <w:tc>
          <w:tcPr>
            <w:tcW w:w="855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297" w:right="297"/>
              <w:jc w:val="center"/>
              <w:rPr>
                <w:sz w:val="13"/>
              </w:rPr>
            </w:pPr>
            <w:r>
              <w:rPr>
                <w:sz w:val="13"/>
              </w:rPr>
              <w:t>Não</w:t>
            </w:r>
          </w:p>
        </w:tc>
        <w:tc>
          <w:tcPr>
            <w:tcW w:w="1296" w:type="dxa"/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75"/>
              <w:ind w:left="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rPr>
                <w:rFonts w:ascii="Times New Roman"/>
                <w:sz w:val="12"/>
              </w:rPr>
            </w:pPr>
          </w:p>
          <w:p w:rsidR="00BC357C" w:rsidRDefault="00BC357C" w:rsidP="00D812EB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BC357C" w:rsidRDefault="00BC357C" w:rsidP="00D812EB">
            <w:pPr>
              <w:pStyle w:val="TableParagraph"/>
              <w:spacing w:line="259" w:lineRule="auto"/>
              <w:ind w:left="69" w:firstLine="162"/>
              <w:rPr>
                <w:sz w:val="13"/>
              </w:rPr>
            </w:pPr>
            <w:r>
              <w:rPr>
                <w:sz w:val="13"/>
              </w:rPr>
              <w:t>Desde que não esteja vinculado a programas de relacionamento/pontuação/ranqueamento/similares.</w:t>
            </w:r>
          </w:p>
        </w:tc>
      </w:tr>
      <w:tr w:rsidR="00BC357C" w:rsidTr="00D812EB">
        <w:trPr>
          <w:trHeight w:val="143"/>
        </w:trPr>
        <w:tc>
          <w:tcPr>
            <w:tcW w:w="414" w:type="dxa"/>
            <w:tcBorders>
              <w:bottom w:val="thinThickMediumGap" w:sz="3" w:space="0" w:color="000000"/>
            </w:tcBorders>
          </w:tcPr>
          <w:p w:rsidR="00337689" w:rsidRDefault="00337689" w:rsidP="00337689">
            <w:pPr>
              <w:pStyle w:val="TableParagraph"/>
              <w:spacing w:before="8" w:line="116" w:lineRule="exact"/>
              <w:ind w:right="60"/>
            </w:pPr>
          </w:p>
          <w:p w:rsidR="00BC357C" w:rsidRDefault="00BC357C" w:rsidP="00D812EB">
            <w:pPr>
              <w:pStyle w:val="TableParagraph"/>
              <w:spacing w:before="8" w:line="116" w:lineRule="exact"/>
              <w:ind w:left="60" w:right="60"/>
              <w:jc w:val="center"/>
            </w:pPr>
            <w:r w:rsidRPr="00337689">
              <w:t>23</w:t>
            </w:r>
          </w:p>
          <w:p w:rsidR="00337689" w:rsidRPr="00337689" w:rsidRDefault="00337689" w:rsidP="00D812EB">
            <w:pPr>
              <w:pStyle w:val="TableParagraph"/>
              <w:spacing w:before="8" w:line="116" w:lineRule="exact"/>
              <w:ind w:left="60" w:right="60"/>
              <w:jc w:val="center"/>
            </w:pPr>
          </w:p>
        </w:tc>
        <w:tc>
          <w:tcPr>
            <w:tcW w:w="3167" w:type="dxa"/>
            <w:tcBorders>
              <w:bottom w:val="thinThickMediumGap" w:sz="3" w:space="0" w:color="000000"/>
            </w:tcBorders>
          </w:tcPr>
          <w:p w:rsidR="00BC357C" w:rsidRDefault="00BC357C" w:rsidP="00D812EB">
            <w:pPr>
              <w:pStyle w:val="TableParagraph"/>
              <w:spacing w:before="8" w:line="116" w:lineRule="exact"/>
              <w:ind w:left="95" w:right="95"/>
              <w:jc w:val="center"/>
              <w:rPr>
                <w:sz w:val="13"/>
              </w:rPr>
            </w:pPr>
            <w:r>
              <w:rPr>
                <w:sz w:val="13"/>
              </w:rPr>
              <w:t>Outros casos não apresentados</w:t>
            </w:r>
          </w:p>
        </w:tc>
        <w:tc>
          <w:tcPr>
            <w:tcW w:w="855" w:type="dxa"/>
            <w:tcBorders>
              <w:bottom w:val="thinThickMediumGap" w:sz="3" w:space="0" w:color="000000"/>
            </w:tcBorders>
          </w:tcPr>
          <w:p w:rsidR="00BC357C" w:rsidRDefault="00BC357C" w:rsidP="00D812EB">
            <w:pPr>
              <w:pStyle w:val="TableParagraph"/>
              <w:spacing w:before="8" w:line="116" w:lineRule="exact"/>
              <w:ind w:left="3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-</w:t>
            </w:r>
          </w:p>
        </w:tc>
        <w:tc>
          <w:tcPr>
            <w:tcW w:w="1296" w:type="dxa"/>
            <w:tcBorders>
              <w:bottom w:val="thinThickMediumGap" w:sz="3" w:space="0" w:color="000000"/>
            </w:tcBorders>
          </w:tcPr>
          <w:p w:rsidR="00BC357C" w:rsidRDefault="00BC357C" w:rsidP="00D812EB">
            <w:pPr>
              <w:pStyle w:val="TableParagraph"/>
              <w:spacing w:before="8" w:line="116" w:lineRule="exact"/>
              <w:ind w:left="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bottom w:val="thinThickMediumGap" w:sz="3" w:space="0" w:color="000000"/>
              <w:right w:val="single" w:sz="8" w:space="0" w:color="000000"/>
            </w:tcBorders>
          </w:tcPr>
          <w:p w:rsidR="00BC357C" w:rsidRDefault="00BC357C" w:rsidP="00D812EB">
            <w:pPr>
              <w:pStyle w:val="TableParagraph"/>
              <w:spacing w:before="8" w:line="116" w:lineRule="exact"/>
              <w:ind w:left="27" w:right="24"/>
              <w:jc w:val="center"/>
              <w:rPr>
                <w:sz w:val="13"/>
              </w:rPr>
            </w:pPr>
            <w:r>
              <w:rPr>
                <w:sz w:val="13"/>
              </w:rPr>
              <w:t>Estarão sujeitos a avaliação e julgamento da CED</w:t>
            </w:r>
          </w:p>
        </w:tc>
      </w:tr>
    </w:tbl>
    <w:p w:rsidR="00BC357C" w:rsidRDefault="00BC357C" w:rsidP="00BC357C"/>
    <w:p w:rsidR="00BC357C" w:rsidRPr="00BC357C" w:rsidRDefault="00BC357C" w:rsidP="00BC357C"/>
    <w:sectPr w:rsidR="00BC357C" w:rsidRPr="00BC357C" w:rsidSect="00791E14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31" w:rsidRDefault="003B5131" w:rsidP="00EE4FDD">
      <w:r>
        <w:separator/>
      </w:r>
    </w:p>
  </w:endnote>
  <w:endnote w:type="continuationSeparator" w:id="1">
    <w:p w:rsidR="003B5131" w:rsidRDefault="003B51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Rodap"/>
    </w:pPr>
    <w:r w:rsidRPr="00BC357C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-880493</wp:posOffset>
          </wp:positionH>
          <wp:positionV relativeFrom="paragraph">
            <wp:posOffset>360297</wp:posOffset>
          </wp:positionV>
          <wp:extent cx="7614428" cy="474452"/>
          <wp:effectExtent l="19050" t="0" r="9525" b="0"/>
          <wp:wrapNone/>
          <wp:docPr id="2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31" w:rsidRDefault="003B5131" w:rsidP="00EE4FDD">
      <w:r>
        <w:separator/>
      </w:r>
    </w:p>
  </w:footnote>
  <w:footnote w:type="continuationSeparator" w:id="1">
    <w:p w:rsidR="003B5131" w:rsidRDefault="003B51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Cabealho"/>
    </w:pPr>
    <w:r w:rsidRPr="00BC357C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-871867</wp:posOffset>
          </wp:positionH>
          <wp:positionV relativeFrom="margin">
            <wp:posOffset>-582523</wp:posOffset>
          </wp:positionV>
          <wp:extent cx="7674442" cy="923027"/>
          <wp:effectExtent l="19050" t="0" r="1270" b="0"/>
          <wp:wrapSquare wrapText="bothSides"/>
          <wp:docPr id="1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Cabealho"/>
    </w:pPr>
    <w:r w:rsidRPr="00332E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B5131" w:rsidRDefault="003B5131">
    <w:pPr>
      <w:pStyle w:val="Cabealho"/>
    </w:pPr>
  </w:p>
  <w:p w:rsidR="003B5131" w:rsidRDefault="003B5131">
    <w:pPr>
      <w:pStyle w:val="Cabealho"/>
    </w:pPr>
  </w:p>
  <w:p w:rsidR="003B5131" w:rsidRDefault="003B5131">
    <w:pPr>
      <w:pStyle w:val="Cabealho"/>
    </w:pPr>
  </w:p>
  <w:p w:rsidR="003B5131" w:rsidRDefault="003B5131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31" w:rsidRDefault="003B5131">
    <w:pPr>
      <w:pStyle w:val="Cabealho"/>
    </w:pPr>
    <w:r w:rsidRPr="00332E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5AA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22C16"/>
    <w:rsid w:val="001237AF"/>
    <w:rsid w:val="0012614C"/>
    <w:rsid w:val="00131C84"/>
    <w:rsid w:val="00145619"/>
    <w:rsid w:val="00146B0F"/>
    <w:rsid w:val="001619FC"/>
    <w:rsid w:val="00172156"/>
    <w:rsid w:val="00175EDF"/>
    <w:rsid w:val="00177389"/>
    <w:rsid w:val="0018099E"/>
    <w:rsid w:val="00183168"/>
    <w:rsid w:val="00184980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2328"/>
    <w:rsid w:val="001F3C05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06BE"/>
    <w:rsid w:val="003168DD"/>
    <w:rsid w:val="00323C20"/>
    <w:rsid w:val="00332D9B"/>
    <w:rsid w:val="00332EDF"/>
    <w:rsid w:val="00335AE9"/>
    <w:rsid w:val="0033768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5131"/>
    <w:rsid w:val="003B6505"/>
    <w:rsid w:val="003C1B54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214A"/>
    <w:rsid w:val="004149DF"/>
    <w:rsid w:val="00415BE7"/>
    <w:rsid w:val="00417BDA"/>
    <w:rsid w:val="00420685"/>
    <w:rsid w:val="00422FB2"/>
    <w:rsid w:val="00435D31"/>
    <w:rsid w:val="00447A20"/>
    <w:rsid w:val="004510AB"/>
    <w:rsid w:val="004607D9"/>
    <w:rsid w:val="00463778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63E2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57951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4FEC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1CF2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57482"/>
    <w:rsid w:val="007612C5"/>
    <w:rsid w:val="00762080"/>
    <w:rsid w:val="00766433"/>
    <w:rsid w:val="00767B78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C7FAD"/>
    <w:rsid w:val="007E29E7"/>
    <w:rsid w:val="007E411B"/>
    <w:rsid w:val="007E55CE"/>
    <w:rsid w:val="007E7AA3"/>
    <w:rsid w:val="007F0D08"/>
    <w:rsid w:val="007F3D8E"/>
    <w:rsid w:val="00811146"/>
    <w:rsid w:val="00815FA9"/>
    <w:rsid w:val="008165C9"/>
    <w:rsid w:val="00826987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7E2"/>
    <w:rsid w:val="00900D9C"/>
    <w:rsid w:val="0090396F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2B6E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E7FFE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4915"/>
    <w:rsid w:val="00BA59C2"/>
    <w:rsid w:val="00BA7C30"/>
    <w:rsid w:val="00BB0B2C"/>
    <w:rsid w:val="00BB4058"/>
    <w:rsid w:val="00BB5791"/>
    <w:rsid w:val="00BC3138"/>
    <w:rsid w:val="00BC357C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0B3A"/>
    <w:rsid w:val="00CA137D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0C10"/>
    <w:rsid w:val="00D5566A"/>
    <w:rsid w:val="00D61E91"/>
    <w:rsid w:val="00D64A59"/>
    <w:rsid w:val="00D812EB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1F42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728B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C357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357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07BF9-ED4D-4AEA-B3FF-BCFA18E0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1926</Words>
  <Characters>10401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13</cp:revision>
  <cp:lastPrinted>2018-10-30T17:35:00Z</cp:lastPrinted>
  <dcterms:created xsi:type="dcterms:W3CDTF">2018-10-10T19:53:00Z</dcterms:created>
  <dcterms:modified xsi:type="dcterms:W3CDTF">2018-10-30T17:45:00Z</dcterms:modified>
</cp:coreProperties>
</file>