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03437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72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03437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23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AGOSTO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7637E9" w:rsidRDefault="00034379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23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agosto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12F3E">
        <w:rPr>
          <w:rFonts w:ascii="Times New Roman" w:hAnsi="Times New Roman"/>
          <w:bCs/>
          <w:sz w:val="22"/>
          <w:szCs w:val="22"/>
          <w:lang w:eastAsia="pt-BR"/>
        </w:rPr>
        <w:t>,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034379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Pr="00034379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Pr="00034379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Pr="00034379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</w:t>
      </w:r>
      <w:r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Ricardo Victor Rodrigues Barbosa, </w:t>
      </w:r>
      <w:r w:rsidRPr="00034379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  <w:lang w:eastAsia="pt-BR"/>
        </w:rPr>
        <w:t>às dezoito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Cs/>
          <w:sz w:val="22"/>
          <w:szCs w:val="22"/>
          <w:lang w:eastAsia="pt-BR"/>
        </w:rPr>
        <w:t>cinquenta e cinco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proofErr w:type="gramEnd"/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71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ata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 foram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 por 06 (seis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) votos a favor, nenhum voto c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ontrário, nenhuma abstenção e 02 (duas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) ausência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Os Conselh</w:t>
      </w:r>
      <w:r w:rsidR="00CB1ED8">
        <w:rPr>
          <w:rFonts w:ascii="Times New Roman" w:hAnsi="Times New Roman"/>
          <w:bCs/>
          <w:sz w:val="22"/>
          <w:szCs w:val="22"/>
          <w:lang w:eastAsia="pt-BR"/>
        </w:rPr>
        <w:t xml:space="preserve">eiros Edgar Filho e </w:t>
      </w:r>
      <w:proofErr w:type="spellStart"/>
      <w:r w:rsidR="00CB1ED8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CB1ED8">
        <w:rPr>
          <w:rFonts w:ascii="Times New Roman" w:hAnsi="Times New Roman"/>
          <w:bCs/>
          <w:sz w:val="22"/>
          <w:szCs w:val="22"/>
          <w:lang w:eastAsia="pt-BR"/>
        </w:rPr>
        <w:t xml:space="preserve"> Batista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chegaram </w:t>
      </w:r>
      <w:proofErr w:type="gramStart"/>
      <w:r w:rsidR="00D530E8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reunião logo após a aprovação da Ata.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(Fórum de Presidentes</w:t>
      </w:r>
      <w:r w:rsidR="00025F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/Plenária Ampliada, Agenda com os candidatos e Diretrizes para a programação de 2019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927BC" w:rsidRPr="008927BC">
        <w:rPr>
          <w:rFonts w:ascii="Times New Roman" w:hAnsi="Times New Roman"/>
          <w:bCs/>
          <w:sz w:val="22"/>
          <w:szCs w:val="22"/>
          <w:lang w:eastAsia="pt-BR"/>
        </w:rPr>
        <w:t xml:space="preserve">Fórum de Presidentes/Plenária Ampliada </w:t>
      </w:r>
      <w:r w:rsidR="008927BC">
        <w:rPr>
          <w:rFonts w:ascii="Times New Roman" w:hAnsi="Times New Roman"/>
          <w:bCs/>
          <w:sz w:val="22"/>
          <w:szCs w:val="22"/>
          <w:lang w:eastAsia="pt-BR"/>
        </w:rPr>
        <w:t>–</w:t>
      </w:r>
      <w:r w:rsidR="008927BC" w:rsidRPr="008927B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927BC">
        <w:rPr>
          <w:rFonts w:ascii="Times New Roman" w:hAnsi="Times New Roman"/>
          <w:bCs/>
          <w:sz w:val="22"/>
          <w:szCs w:val="22"/>
          <w:lang w:eastAsia="pt-BR"/>
        </w:rPr>
        <w:t>O presidente Heitor Maia informou que a insatisfação dos presidentes dos CAU/UF em relação ao CAU/BR é geral, pois a nova gestão está querendo mudar tudo o que foi feito em gestões anteriores e não está consultando os estados, “atropelando” dessa forma o processo construtivo e pegando os estados de surpresa com novos procedimentos e diretrizes. Os presidentes dos CAU/UF produziram e encaminharam documento ao presidente do CAU/BR solicitando providências e que as pautas fossem discutidas nas Comissões e posteriormente com o Plenário e não ficasse apenas entre os funcionários do CAU/BR.</w:t>
      </w:r>
      <w:r w:rsidR="00F939B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927BC" w:rsidRPr="008927BC">
        <w:rPr>
          <w:rFonts w:ascii="Times New Roman" w:hAnsi="Times New Roman"/>
          <w:bCs/>
          <w:sz w:val="22"/>
          <w:szCs w:val="22"/>
          <w:lang w:eastAsia="pt-BR"/>
        </w:rPr>
        <w:t>Agenda com os candidatos</w:t>
      </w:r>
      <w:r w:rsidR="008927BC">
        <w:rPr>
          <w:rFonts w:ascii="Times New Roman" w:hAnsi="Times New Roman"/>
          <w:bCs/>
          <w:sz w:val="22"/>
          <w:szCs w:val="22"/>
          <w:lang w:eastAsia="pt-BR"/>
        </w:rPr>
        <w:t xml:space="preserve"> – O presidente informou que está tentando marcar reuniões com os candidatos</w:t>
      </w:r>
      <w:r w:rsidR="00EB71A5">
        <w:rPr>
          <w:rFonts w:ascii="Times New Roman" w:hAnsi="Times New Roman"/>
          <w:bCs/>
          <w:sz w:val="22"/>
          <w:szCs w:val="22"/>
          <w:lang w:eastAsia="pt-BR"/>
        </w:rPr>
        <w:t xml:space="preserve"> ao Senado e a Câmara </w:t>
      </w:r>
      <w:r w:rsidR="008927BC">
        <w:rPr>
          <w:rFonts w:ascii="Times New Roman" w:hAnsi="Times New Roman"/>
          <w:bCs/>
          <w:sz w:val="22"/>
          <w:szCs w:val="22"/>
          <w:lang w:eastAsia="pt-BR"/>
        </w:rPr>
        <w:t xml:space="preserve">e está esperando resposta referente </w:t>
      </w:r>
      <w:r w:rsidR="00F939B2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8927BC">
        <w:rPr>
          <w:rFonts w:ascii="Times New Roman" w:hAnsi="Times New Roman"/>
          <w:bCs/>
          <w:sz w:val="22"/>
          <w:szCs w:val="22"/>
          <w:lang w:eastAsia="pt-BR"/>
        </w:rPr>
        <w:t xml:space="preserve"> agenda dos mesmos.</w:t>
      </w:r>
      <w:r w:rsidR="00F939B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939B2" w:rsidRPr="00F939B2">
        <w:rPr>
          <w:rFonts w:ascii="Times New Roman" w:hAnsi="Times New Roman"/>
          <w:bCs/>
          <w:sz w:val="22"/>
          <w:szCs w:val="22"/>
          <w:lang w:eastAsia="pt-BR"/>
        </w:rPr>
        <w:t>Diretrizes para a programação de 2019</w:t>
      </w:r>
      <w:r w:rsidR="00F939B2">
        <w:rPr>
          <w:rFonts w:ascii="Times New Roman" w:hAnsi="Times New Roman"/>
          <w:bCs/>
          <w:sz w:val="22"/>
          <w:szCs w:val="22"/>
          <w:lang w:eastAsia="pt-BR"/>
        </w:rPr>
        <w:t xml:space="preserve"> – O presidente solicitou que o gerente administrativo e financeiro Rodrigo Lopes apresentasse as diretrizes. O gerente externou em slides sua apresentação para que todos os presentes pudessem acompanhar, explicando todos os pontos de mudança referente às diretrizes do ano anterior. Essa apresentação consta como anexo I a esta Ata como se aqui estivesse transcrita.</w:t>
      </w:r>
      <w:r w:rsidR="007637E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</w:t>
      </w:r>
      <w:proofErr w:type="gramStart"/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plenária processo</w:t>
      </w:r>
      <w:proofErr w:type="gramEnd"/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de fiscalização </w:t>
      </w:r>
      <w:r w:rsidR="00CB1ED8" w:rsidRPr="00CB1ED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1000062843/2018</w:t>
      </w:r>
      <w:r w:rsid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Exercício Profissional – CEP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B1ED8" w:rsidRPr="00CB1ED8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CB1ED8" w:rsidRPr="00CB1ED8">
        <w:rPr>
          <w:rFonts w:ascii="Times New Roman" w:hAnsi="Times New Roman"/>
          <w:bCs/>
          <w:sz w:val="22"/>
          <w:szCs w:val="22"/>
          <w:lang w:eastAsia="pt-BR"/>
        </w:rPr>
        <w:t xml:space="preserve">José Rafael dos Santos Cordeiro Oliveira </w:t>
      </w:r>
      <w:r w:rsidR="00CB1ED8" w:rsidRPr="00CB1ED8">
        <w:rPr>
          <w:rFonts w:ascii="Times New Roman" w:hAnsi="Times New Roman"/>
          <w:sz w:val="22"/>
          <w:szCs w:val="22"/>
          <w:lang w:eastAsia="pt-BR"/>
        </w:rPr>
        <w:t>fez a leitura do seu relatório, e ao seu fim os demais conselheiros presentes acompanharam o voto do relator pelo arquivamento do auto de infração e cancelamento da multa aplicada.</w:t>
      </w:r>
      <w:r w:rsidR="00CB1ED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Julgamento de processo ético 696865/2018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3D591E" w:rsidRP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 – CED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076399">
        <w:rPr>
          <w:rFonts w:ascii="Times New Roman" w:hAnsi="Times New Roman"/>
          <w:sz w:val="22"/>
          <w:szCs w:val="22"/>
          <w:lang w:eastAsia="pt-BR"/>
        </w:rPr>
        <w:t xml:space="preserve">Diretor Geral </w:t>
      </w:r>
      <w:proofErr w:type="spellStart"/>
      <w:r w:rsidR="00076399">
        <w:rPr>
          <w:rFonts w:ascii="Times New Roman" w:hAnsi="Times New Roman"/>
          <w:sz w:val="22"/>
          <w:szCs w:val="22"/>
          <w:lang w:eastAsia="pt-BR"/>
        </w:rPr>
        <w:t>Norlan</w:t>
      </w:r>
      <w:proofErr w:type="spellEnd"/>
      <w:r w:rsidR="00076399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76399">
        <w:rPr>
          <w:rFonts w:ascii="Times New Roman" w:hAnsi="Times New Roman"/>
          <w:sz w:val="22"/>
          <w:szCs w:val="22"/>
          <w:lang w:eastAsia="pt-BR"/>
        </w:rPr>
        <w:t>Dowell</w:t>
      </w:r>
      <w:proofErr w:type="spellEnd"/>
      <w:r w:rsidR="0007639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8770E">
        <w:rPr>
          <w:rFonts w:ascii="Times New Roman" w:hAnsi="Times New Roman"/>
          <w:sz w:val="22"/>
          <w:szCs w:val="22"/>
          <w:lang w:eastAsia="pt-BR"/>
        </w:rPr>
        <w:t xml:space="preserve">leu o relatório do 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076399" w:rsidRPr="00076399">
        <w:rPr>
          <w:rFonts w:ascii="Times New Roman" w:hAnsi="Times New Roman"/>
          <w:sz w:val="22"/>
          <w:szCs w:val="22"/>
          <w:lang w:eastAsia="pt-BR"/>
        </w:rPr>
        <w:t>Alexandre Henrique Pereira e Silva</w:t>
      </w:r>
      <w:r w:rsidR="00A74A52">
        <w:rPr>
          <w:rFonts w:ascii="Times New Roman" w:hAnsi="Times New Roman"/>
          <w:sz w:val="22"/>
          <w:szCs w:val="22"/>
          <w:lang w:eastAsia="pt-BR"/>
        </w:rPr>
        <w:t>, e ao seu fim os demais conselheiros presentes</w:t>
      </w:r>
      <w:r w:rsidR="0007639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76399" w:rsidRPr="00CB1ED8">
        <w:rPr>
          <w:rFonts w:ascii="Times New Roman" w:hAnsi="Times New Roman"/>
          <w:sz w:val="22"/>
          <w:szCs w:val="22"/>
          <w:lang w:eastAsia="pt-BR"/>
        </w:rPr>
        <w:t>acompanharam o voto do relator</w:t>
      </w:r>
      <w:r w:rsidR="00076399">
        <w:rPr>
          <w:rFonts w:ascii="Times New Roman" w:hAnsi="Times New Roman"/>
          <w:sz w:val="22"/>
          <w:szCs w:val="22"/>
          <w:lang w:eastAsia="pt-BR"/>
        </w:rPr>
        <w:t xml:space="preserve"> por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76399">
        <w:rPr>
          <w:rFonts w:ascii="Times New Roman" w:hAnsi="Times New Roman"/>
          <w:sz w:val="22"/>
          <w:szCs w:val="22"/>
          <w:lang w:eastAsia="pt-BR"/>
        </w:rPr>
        <w:t>a</w:t>
      </w:r>
      <w:r w:rsidR="00076399" w:rsidRPr="00076399">
        <w:rPr>
          <w:rFonts w:ascii="Times New Roman" w:hAnsi="Times New Roman"/>
          <w:sz w:val="22"/>
          <w:szCs w:val="22"/>
          <w:lang w:eastAsia="pt-BR"/>
        </w:rPr>
        <w:t>plicar sanção de ADVERTÊNCIA RESERVADA, conforme Art. 62 da Resolução Nº 143 do CAU/BR</w:t>
      </w:r>
      <w:r w:rsidR="0007639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7639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Análise e deliberação sobre a minuta do ATHIS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Origem: Presidência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72523" w:rsidRPr="009E0B2D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170FF3">
        <w:rPr>
          <w:rFonts w:ascii="Times New Roman" w:hAnsi="Times New Roman"/>
          <w:sz w:val="22"/>
          <w:szCs w:val="22"/>
          <w:lang w:eastAsia="pt-BR"/>
        </w:rPr>
        <w:t>presidente Heitor Maia explicou que pretendia fazer dois editais, mas no fim achou melhor que fosse apenas um que vislumbrava a contratação de</w:t>
      </w:r>
      <w:r w:rsidR="00EB71A5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170FF3">
        <w:rPr>
          <w:rFonts w:ascii="Times New Roman" w:hAnsi="Times New Roman"/>
          <w:sz w:val="22"/>
          <w:szCs w:val="22"/>
          <w:lang w:eastAsia="pt-BR"/>
        </w:rPr>
        <w:t xml:space="preserve"> quatro profissionais. O presidente apresentou o edital que tem orçamento bruto previsto de a</w:t>
      </w:r>
      <w:r w:rsidR="00170FF3" w:rsidRPr="00170FF3">
        <w:rPr>
          <w:rFonts w:ascii="Times New Roman" w:hAnsi="Times New Roman"/>
          <w:sz w:val="22"/>
          <w:szCs w:val="22"/>
          <w:lang w:eastAsia="pt-BR"/>
        </w:rPr>
        <w:t>té R$ 60.000,00 (sessenta mil Reais)</w:t>
      </w:r>
      <w:r w:rsidR="00170FF3">
        <w:rPr>
          <w:rFonts w:ascii="Times New Roman" w:hAnsi="Times New Roman"/>
          <w:sz w:val="22"/>
          <w:szCs w:val="22"/>
          <w:lang w:eastAsia="pt-BR"/>
        </w:rPr>
        <w:t xml:space="preserve"> para a contratação de projetos. Ao fim da apresentação todos os presentes aprovaram o edital e também foram i</w:t>
      </w:r>
      <w:r w:rsidR="00170FF3" w:rsidRPr="00170FF3">
        <w:rPr>
          <w:rFonts w:ascii="Times New Roman" w:hAnsi="Times New Roman"/>
          <w:sz w:val="22"/>
          <w:szCs w:val="22"/>
          <w:lang w:eastAsia="pt-BR"/>
        </w:rPr>
        <w:t>ndica</w:t>
      </w:r>
      <w:r w:rsidR="00170FF3">
        <w:rPr>
          <w:rFonts w:ascii="Times New Roman" w:hAnsi="Times New Roman"/>
          <w:sz w:val="22"/>
          <w:szCs w:val="22"/>
          <w:lang w:eastAsia="pt-BR"/>
        </w:rPr>
        <w:t>dos</w:t>
      </w:r>
      <w:r w:rsidR="00170FF3" w:rsidRPr="00170FF3">
        <w:rPr>
          <w:rFonts w:ascii="Times New Roman" w:hAnsi="Times New Roman"/>
          <w:sz w:val="22"/>
          <w:szCs w:val="22"/>
          <w:lang w:eastAsia="pt-BR"/>
        </w:rPr>
        <w:t xml:space="preserve"> o nome da Conselheira </w:t>
      </w:r>
      <w:proofErr w:type="spellStart"/>
      <w:r w:rsidR="00170FF3" w:rsidRPr="00170FF3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170FF3" w:rsidRPr="00170FF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170FF3" w:rsidRPr="00170FF3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170FF3" w:rsidRPr="00170FF3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170FF3" w:rsidRPr="00170FF3">
        <w:rPr>
          <w:rFonts w:ascii="Times New Roman" w:hAnsi="Times New Roman"/>
          <w:sz w:val="22"/>
          <w:szCs w:val="22"/>
          <w:lang w:eastAsia="pt-BR"/>
        </w:rPr>
        <w:t xml:space="preserve"> e dos </w:t>
      </w:r>
      <w:proofErr w:type="gramStart"/>
      <w:r w:rsidR="00170FF3" w:rsidRPr="00170FF3">
        <w:rPr>
          <w:rFonts w:ascii="Times New Roman" w:hAnsi="Times New Roman"/>
          <w:sz w:val="22"/>
          <w:szCs w:val="22"/>
          <w:lang w:eastAsia="pt-BR"/>
        </w:rPr>
        <w:t>Conselheiros Edgar Francisco</w:t>
      </w:r>
      <w:proofErr w:type="gramEnd"/>
      <w:r w:rsidR="00170FF3" w:rsidRPr="00170FF3">
        <w:rPr>
          <w:rFonts w:ascii="Times New Roman" w:hAnsi="Times New Roman"/>
          <w:sz w:val="22"/>
          <w:szCs w:val="22"/>
          <w:lang w:eastAsia="pt-BR"/>
        </w:rPr>
        <w:t xml:space="preserve"> do Nascimento Filho e </w:t>
      </w:r>
      <w:r w:rsidR="00170FF3" w:rsidRPr="00170FF3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r w:rsidR="00170FF3" w:rsidRPr="00170FF3">
        <w:rPr>
          <w:rFonts w:ascii="Times New Roman" w:hAnsi="Times New Roman"/>
          <w:bCs/>
          <w:sz w:val="22"/>
          <w:szCs w:val="22"/>
          <w:lang w:eastAsia="pt-BR"/>
        </w:rPr>
        <w:lastRenderedPageBreak/>
        <w:t>Rafael dos Santos Cordeiro Oliveira</w:t>
      </w:r>
      <w:r w:rsidR="00170FF3" w:rsidRPr="00170FF3">
        <w:rPr>
          <w:rFonts w:ascii="Times New Roman" w:hAnsi="Times New Roman"/>
          <w:sz w:val="22"/>
          <w:szCs w:val="22"/>
          <w:lang w:eastAsia="pt-BR"/>
        </w:rPr>
        <w:t>, como membros da Comissão analisadora dos candidatos do edital do ATHIS</w:t>
      </w:r>
      <w:r w:rsidR="00170FF3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3D591E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Julgamento de processo ético 664691/2018</w:t>
      </w:r>
      <w:r w:rsidR="003D591E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Ética e Disciplina – CED</w:t>
      </w:r>
      <w:r w:rsidR="003D591E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D591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970B9">
        <w:rPr>
          <w:rFonts w:ascii="Times New Roman" w:hAnsi="Times New Roman"/>
          <w:b/>
          <w:sz w:val="22"/>
          <w:szCs w:val="22"/>
          <w:lang w:eastAsia="pt-BR"/>
        </w:rPr>
        <w:t xml:space="preserve">A </w:t>
      </w:r>
      <w:r w:rsidR="009970B9" w:rsidRPr="00170FF3">
        <w:rPr>
          <w:rFonts w:ascii="Times New Roman" w:hAnsi="Times New Roman"/>
          <w:sz w:val="22"/>
          <w:szCs w:val="22"/>
          <w:lang w:eastAsia="pt-BR"/>
        </w:rPr>
        <w:t xml:space="preserve">Conselheira </w:t>
      </w:r>
      <w:proofErr w:type="spellStart"/>
      <w:r w:rsidR="009970B9" w:rsidRPr="00170FF3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9970B9" w:rsidRPr="00170FF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9970B9" w:rsidRPr="00170FF3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9970B9" w:rsidRPr="00170FF3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9970B9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70B9">
        <w:rPr>
          <w:rFonts w:ascii="Times New Roman" w:hAnsi="Times New Roman"/>
          <w:sz w:val="22"/>
          <w:szCs w:val="22"/>
          <w:lang w:eastAsia="pt-BR"/>
        </w:rPr>
        <w:t xml:space="preserve">fez a leitura de seu relatório, e ao seu fim os demais conselheiros presentes </w:t>
      </w:r>
      <w:r w:rsidR="009970B9" w:rsidRPr="00CB1ED8">
        <w:rPr>
          <w:rFonts w:ascii="Times New Roman" w:hAnsi="Times New Roman"/>
          <w:sz w:val="22"/>
          <w:szCs w:val="22"/>
          <w:lang w:eastAsia="pt-BR"/>
        </w:rPr>
        <w:t>acompanharam o voto do relator</w:t>
      </w:r>
      <w:r w:rsidR="009970B9">
        <w:rPr>
          <w:rFonts w:ascii="Times New Roman" w:hAnsi="Times New Roman"/>
          <w:sz w:val="22"/>
          <w:szCs w:val="22"/>
          <w:lang w:eastAsia="pt-BR"/>
        </w:rPr>
        <w:t xml:space="preserve"> por a</w:t>
      </w:r>
      <w:r w:rsidR="009970B9" w:rsidRPr="00076399">
        <w:rPr>
          <w:rFonts w:ascii="Times New Roman" w:hAnsi="Times New Roman"/>
          <w:sz w:val="22"/>
          <w:szCs w:val="22"/>
          <w:lang w:eastAsia="pt-BR"/>
        </w:rPr>
        <w:t>plicar sanção de ADVERTÊNCIA RESERVADA, conforme Art. 62 da Resolução Nº 143 do CAU/BR</w:t>
      </w:r>
      <w:r w:rsidR="009970B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9970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 w:rsidRPr="004648C5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 w:rsidRPr="004648C5">
        <w:rPr>
          <w:rFonts w:ascii="Times New Roman" w:hAnsi="Times New Roman"/>
          <w:sz w:val="22"/>
          <w:szCs w:val="22"/>
          <w:lang w:eastAsia="pt-BR"/>
        </w:rPr>
        <w:t>s. O Conselheiro</w:t>
      </w:r>
      <w:r w:rsidR="00061371" w:rsidRPr="004648C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674DF7" w:rsidRPr="004648C5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674DF7" w:rsidRPr="004648C5">
        <w:rPr>
          <w:rFonts w:ascii="Times New Roman" w:hAnsi="Times New Roman"/>
          <w:sz w:val="22"/>
          <w:szCs w:val="22"/>
          <w:lang w:eastAsia="pt-BR"/>
        </w:rPr>
        <w:t xml:space="preserve"> Batista </w:t>
      </w:r>
      <w:r w:rsidR="004106DC" w:rsidRPr="004648C5">
        <w:rPr>
          <w:rFonts w:ascii="Times New Roman" w:hAnsi="Times New Roman"/>
          <w:sz w:val="22"/>
          <w:szCs w:val="22"/>
          <w:lang w:eastAsia="pt-BR"/>
        </w:rPr>
        <w:t>lamentou</w:t>
      </w:r>
      <w:r w:rsidR="004648C5" w:rsidRPr="004648C5">
        <w:rPr>
          <w:rFonts w:ascii="Times New Roman" w:hAnsi="Times New Roman"/>
          <w:sz w:val="22"/>
          <w:szCs w:val="22"/>
          <w:lang w:eastAsia="pt-BR"/>
        </w:rPr>
        <w:t xml:space="preserve"> que na Universidade Federal de Alagoas – UFAL havia recurso para a elaboração de projetos, mas que não conseguia contratar</w:t>
      </w:r>
      <w:r w:rsidR="00EB71A5">
        <w:rPr>
          <w:rFonts w:ascii="Times New Roman" w:hAnsi="Times New Roman"/>
          <w:sz w:val="22"/>
          <w:szCs w:val="22"/>
          <w:lang w:eastAsia="pt-BR"/>
        </w:rPr>
        <w:t>,</w:t>
      </w:r>
      <w:r w:rsidR="004648C5" w:rsidRPr="004648C5">
        <w:rPr>
          <w:rFonts w:ascii="Times New Roman" w:hAnsi="Times New Roman"/>
          <w:sz w:val="22"/>
          <w:szCs w:val="22"/>
          <w:lang w:eastAsia="pt-BR"/>
        </w:rPr>
        <w:t xml:space="preserve"> pois o procurador da universidade sempre justificava que a UFAL possuía corpo técnico para tal, porém esse mesmo corpo técnico não é capaz de atender tal demanda. O conselheiro solicitou </w:t>
      </w:r>
      <w:r w:rsidR="00EB71A5">
        <w:rPr>
          <w:rFonts w:ascii="Times New Roman" w:hAnsi="Times New Roman"/>
          <w:sz w:val="22"/>
          <w:szCs w:val="22"/>
          <w:lang w:eastAsia="pt-BR"/>
        </w:rPr>
        <w:t xml:space="preserve">a ajuda dos demais colegas </w:t>
      </w:r>
      <w:r w:rsidR="004648C5" w:rsidRPr="004648C5">
        <w:rPr>
          <w:rFonts w:ascii="Times New Roman" w:hAnsi="Times New Roman"/>
          <w:sz w:val="22"/>
          <w:szCs w:val="22"/>
          <w:lang w:eastAsia="pt-BR"/>
        </w:rPr>
        <w:t xml:space="preserve">visando </w:t>
      </w:r>
      <w:r w:rsidR="00EB71A5" w:rsidRPr="004648C5">
        <w:rPr>
          <w:rFonts w:ascii="Times New Roman" w:hAnsi="Times New Roman"/>
          <w:sz w:val="22"/>
          <w:szCs w:val="22"/>
          <w:lang w:eastAsia="pt-BR"/>
        </w:rPr>
        <w:t>à</w:t>
      </w:r>
      <w:r w:rsidR="004648C5" w:rsidRPr="004648C5">
        <w:rPr>
          <w:rFonts w:ascii="Times New Roman" w:hAnsi="Times New Roman"/>
          <w:sz w:val="22"/>
          <w:szCs w:val="22"/>
          <w:lang w:eastAsia="pt-BR"/>
        </w:rPr>
        <w:t xml:space="preserve"> resolução desse problema.</w:t>
      </w:r>
      <w:r w:rsidR="004648C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2F3E" w:rsidRPr="00B36A8A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042495">
        <w:rPr>
          <w:rFonts w:ascii="Times New Roman" w:hAnsi="Times New Roman"/>
          <w:sz w:val="22"/>
          <w:szCs w:val="22"/>
          <w:lang w:eastAsia="pt-BR"/>
        </w:rPr>
        <w:t>20h35</w:t>
      </w:r>
      <w:r w:rsidR="00E74792">
        <w:rPr>
          <w:rFonts w:ascii="Times New Roman" w:hAnsi="Times New Roman"/>
          <w:sz w:val="22"/>
          <w:szCs w:val="22"/>
          <w:lang w:eastAsia="pt-BR"/>
        </w:rPr>
        <w:t>min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42495">
        <w:rPr>
          <w:rFonts w:ascii="Times New Roman" w:hAnsi="Times New Roman"/>
          <w:sz w:val="22"/>
          <w:szCs w:val="22"/>
          <w:lang w:eastAsia="pt-BR"/>
        </w:rPr>
        <w:t>do dia 23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42495">
        <w:rPr>
          <w:rFonts w:ascii="Times New Roman" w:hAnsi="Times New Roman"/>
          <w:sz w:val="22"/>
          <w:szCs w:val="22"/>
          <w:lang w:eastAsia="pt-BR"/>
        </w:rPr>
        <w:t>agosto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 w:rsidR="00042495">
        <w:rPr>
          <w:rFonts w:ascii="Times New Roman" w:hAnsi="Times New Roman"/>
          <w:sz w:val="22"/>
          <w:szCs w:val="22"/>
          <w:lang w:eastAsia="pt-BR"/>
        </w:rPr>
        <w:t>u a 72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B2" w:rsidRDefault="00F939B2" w:rsidP="00EE4FDD">
      <w:r>
        <w:separator/>
      </w:r>
    </w:p>
  </w:endnote>
  <w:endnote w:type="continuationSeparator" w:id="0">
    <w:p w:rsidR="00F939B2" w:rsidRDefault="00F939B2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2" w:rsidRDefault="00F939B2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B2" w:rsidRDefault="00F939B2" w:rsidP="00EE4FDD">
      <w:r>
        <w:separator/>
      </w:r>
    </w:p>
  </w:footnote>
  <w:footnote w:type="continuationSeparator" w:id="0">
    <w:p w:rsidR="00F939B2" w:rsidRDefault="00F939B2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2" w:rsidRDefault="00F939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42B8"/>
    <w:rsid w:val="0000539E"/>
    <w:rsid w:val="00006DCD"/>
    <w:rsid w:val="000076F5"/>
    <w:rsid w:val="00025BD3"/>
    <w:rsid w:val="00025F8B"/>
    <w:rsid w:val="00034379"/>
    <w:rsid w:val="000379D0"/>
    <w:rsid w:val="00041B44"/>
    <w:rsid w:val="00042495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95801"/>
    <w:rsid w:val="000B0B96"/>
    <w:rsid w:val="000C30BF"/>
    <w:rsid w:val="000C5668"/>
    <w:rsid w:val="000D3E9B"/>
    <w:rsid w:val="000E2B86"/>
    <w:rsid w:val="000E2EA3"/>
    <w:rsid w:val="000F4761"/>
    <w:rsid w:val="00102328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A19EC"/>
    <w:rsid w:val="001A570D"/>
    <w:rsid w:val="001B4AD7"/>
    <w:rsid w:val="001C223A"/>
    <w:rsid w:val="001C2A34"/>
    <w:rsid w:val="001F236B"/>
    <w:rsid w:val="001F35B0"/>
    <w:rsid w:val="001F5032"/>
    <w:rsid w:val="001F7BC7"/>
    <w:rsid w:val="0020051E"/>
    <w:rsid w:val="002068BA"/>
    <w:rsid w:val="00210CC4"/>
    <w:rsid w:val="0021757A"/>
    <w:rsid w:val="002226A2"/>
    <w:rsid w:val="00222A46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521B"/>
    <w:rsid w:val="002A6197"/>
    <w:rsid w:val="002A6C86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4106DC"/>
    <w:rsid w:val="00433B41"/>
    <w:rsid w:val="004342ED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51E4"/>
    <w:rsid w:val="005661FF"/>
    <w:rsid w:val="00574B05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36B5"/>
    <w:rsid w:val="005F761F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80B63"/>
    <w:rsid w:val="00681BC2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5644"/>
    <w:rsid w:val="006C5C68"/>
    <w:rsid w:val="006D7C32"/>
    <w:rsid w:val="006E4D20"/>
    <w:rsid w:val="006E50DD"/>
    <w:rsid w:val="006F4FAE"/>
    <w:rsid w:val="00701B3B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6B00"/>
    <w:rsid w:val="00777F91"/>
    <w:rsid w:val="007A1A7C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2A0"/>
    <w:rsid w:val="00876951"/>
    <w:rsid w:val="00881D4D"/>
    <w:rsid w:val="0088348B"/>
    <w:rsid w:val="00885D29"/>
    <w:rsid w:val="008927BC"/>
    <w:rsid w:val="008B2092"/>
    <w:rsid w:val="008B2724"/>
    <w:rsid w:val="008B37B9"/>
    <w:rsid w:val="008B62C2"/>
    <w:rsid w:val="008C571A"/>
    <w:rsid w:val="008D600E"/>
    <w:rsid w:val="008E2861"/>
    <w:rsid w:val="008F10DE"/>
    <w:rsid w:val="008F6258"/>
    <w:rsid w:val="008F651F"/>
    <w:rsid w:val="009020EE"/>
    <w:rsid w:val="00905EF9"/>
    <w:rsid w:val="00905F93"/>
    <w:rsid w:val="00911AD4"/>
    <w:rsid w:val="0091532C"/>
    <w:rsid w:val="009227E5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6C59"/>
    <w:rsid w:val="00990BFD"/>
    <w:rsid w:val="00991290"/>
    <w:rsid w:val="00992492"/>
    <w:rsid w:val="009970B9"/>
    <w:rsid w:val="009A17C4"/>
    <w:rsid w:val="009A3FCB"/>
    <w:rsid w:val="009E0B2D"/>
    <w:rsid w:val="009E743A"/>
    <w:rsid w:val="009F4F8F"/>
    <w:rsid w:val="009F7712"/>
    <w:rsid w:val="00A0065B"/>
    <w:rsid w:val="00A10687"/>
    <w:rsid w:val="00A11EF0"/>
    <w:rsid w:val="00A124D1"/>
    <w:rsid w:val="00A15C8C"/>
    <w:rsid w:val="00A217F0"/>
    <w:rsid w:val="00A2335F"/>
    <w:rsid w:val="00A26E98"/>
    <w:rsid w:val="00A31F8A"/>
    <w:rsid w:val="00A32C6E"/>
    <w:rsid w:val="00A360B4"/>
    <w:rsid w:val="00A370D5"/>
    <w:rsid w:val="00A43340"/>
    <w:rsid w:val="00A438CF"/>
    <w:rsid w:val="00A52A99"/>
    <w:rsid w:val="00A56643"/>
    <w:rsid w:val="00A602C9"/>
    <w:rsid w:val="00A645BC"/>
    <w:rsid w:val="00A72437"/>
    <w:rsid w:val="00A73B3E"/>
    <w:rsid w:val="00A73C44"/>
    <w:rsid w:val="00A74A52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F02AC"/>
    <w:rsid w:val="00AF1CEC"/>
    <w:rsid w:val="00AF3EA5"/>
    <w:rsid w:val="00B04FF6"/>
    <w:rsid w:val="00B0778D"/>
    <w:rsid w:val="00B124CC"/>
    <w:rsid w:val="00B12F37"/>
    <w:rsid w:val="00B226E2"/>
    <w:rsid w:val="00B239A1"/>
    <w:rsid w:val="00B2409D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7D90"/>
    <w:rsid w:val="00BF7BE6"/>
    <w:rsid w:val="00C002B0"/>
    <w:rsid w:val="00C079C4"/>
    <w:rsid w:val="00C23D9B"/>
    <w:rsid w:val="00C24CDC"/>
    <w:rsid w:val="00C26D6A"/>
    <w:rsid w:val="00C31638"/>
    <w:rsid w:val="00C35758"/>
    <w:rsid w:val="00C411D6"/>
    <w:rsid w:val="00C418EA"/>
    <w:rsid w:val="00C47009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76FA"/>
    <w:rsid w:val="00C81E6E"/>
    <w:rsid w:val="00C85BF3"/>
    <w:rsid w:val="00C9496B"/>
    <w:rsid w:val="00CA07B7"/>
    <w:rsid w:val="00CA31B6"/>
    <w:rsid w:val="00CA3E99"/>
    <w:rsid w:val="00CB1ED8"/>
    <w:rsid w:val="00CB37AA"/>
    <w:rsid w:val="00CB613A"/>
    <w:rsid w:val="00CB6D3E"/>
    <w:rsid w:val="00CC0CB8"/>
    <w:rsid w:val="00CC56E3"/>
    <w:rsid w:val="00CD1073"/>
    <w:rsid w:val="00CD43AA"/>
    <w:rsid w:val="00CD4CFA"/>
    <w:rsid w:val="00CD5817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530E8"/>
    <w:rsid w:val="00D6277B"/>
    <w:rsid w:val="00D62B20"/>
    <w:rsid w:val="00D72CEC"/>
    <w:rsid w:val="00D77D39"/>
    <w:rsid w:val="00D8770E"/>
    <w:rsid w:val="00D912AC"/>
    <w:rsid w:val="00DA2F4B"/>
    <w:rsid w:val="00DA5331"/>
    <w:rsid w:val="00DA6716"/>
    <w:rsid w:val="00DC7DC9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5774"/>
    <w:rsid w:val="00E669B8"/>
    <w:rsid w:val="00E73A02"/>
    <w:rsid w:val="00E74792"/>
    <w:rsid w:val="00E87F98"/>
    <w:rsid w:val="00EA1996"/>
    <w:rsid w:val="00EB71A5"/>
    <w:rsid w:val="00EC4901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42101"/>
    <w:rsid w:val="00F4433F"/>
    <w:rsid w:val="00F46176"/>
    <w:rsid w:val="00F61100"/>
    <w:rsid w:val="00F61C62"/>
    <w:rsid w:val="00F66EF2"/>
    <w:rsid w:val="00F73841"/>
    <w:rsid w:val="00F73BAC"/>
    <w:rsid w:val="00F752FD"/>
    <w:rsid w:val="00F75BC4"/>
    <w:rsid w:val="00F75D6A"/>
    <w:rsid w:val="00F800C8"/>
    <w:rsid w:val="00F80617"/>
    <w:rsid w:val="00F847DD"/>
    <w:rsid w:val="00F91070"/>
    <w:rsid w:val="00F939B2"/>
    <w:rsid w:val="00F9458F"/>
    <w:rsid w:val="00F94D0C"/>
    <w:rsid w:val="00FA5B28"/>
    <w:rsid w:val="00FC24CE"/>
    <w:rsid w:val="00FD1410"/>
    <w:rsid w:val="00FD7CFE"/>
    <w:rsid w:val="00FE3C61"/>
    <w:rsid w:val="00FE3E40"/>
    <w:rsid w:val="00FE4DC8"/>
    <w:rsid w:val="00FE68D9"/>
    <w:rsid w:val="00FF4BE0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9761-94BF-49AB-8BA1-454CB3F2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2</Pages>
  <Words>862</Words>
  <Characters>4655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88</cp:revision>
  <cp:lastPrinted>2018-01-05T21:34:00Z</cp:lastPrinted>
  <dcterms:created xsi:type="dcterms:W3CDTF">2018-01-03T20:56:00Z</dcterms:created>
  <dcterms:modified xsi:type="dcterms:W3CDTF">2018-09-27T22:13:00Z</dcterms:modified>
</cp:coreProperties>
</file>