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5D7866D2" w:rsidR="00F67E14" w:rsidRPr="00E03DE7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31BEE">
        <w:rPr>
          <w:rFonts w:ascii="Arial" w:hAnsi="Arial" w:cs="Arial"/>
          <w:b/>
        </w:rPr>
        <w:t xml:space="preserve">ATA DA </w:t>
      </w:r>
      <w:r w:rsidR="00E03DE7">
        <w:rPr>
          <w:rFonts w:ascii="Arial" w:hAnsi="Arial" w:cs="Arial"/>
          <w:b/>
        </w:rPr>
        <w:t>1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E03DE7">
        <w:rPr>
          <w:rFonts w:ascii="Arial" w:hAnsi="Arial" w:cs="Arial"/>
        </w:rPr>
        <w:t>15</w:t>
      </w:r>
      <w:r w:rsidR="00897847">
        <w:rPr>
          <w:rFonts w:ascii="Arial" w:hAnsi="Arial" w:cs="Arial"/>
        </w:rPr>
        <w:t>h</w:t>
      </w:r>
      <w:r w:rsidR="00E03DE7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E03DE7">
        <w:rPr>
          <w:rFonts w:ascii="Arial" w:hAnsi="Arial" w:cs="Arial"/>
        </w:rPr>
        <w:t>2</w:t>
      </w:r>
      <w:r w:rsidR="00CA5DDB">
        <w:rPr>
          <w:rFonts w:ascii="Arial" w:hAnsi="Arial" w:cs="Arial"/>
        </w:rPr>
        <w:t>5</w:t>
      </w:r>
      <w:r w:rsidR="00726CAA" w:rsidRPr="00531BEE">
        <w:rPr>
          <w:rFonts w:ascii="Arial" w:hAnsi="Arial" w:cs="Arial"/>
        </w:rPr>
        <w:t xml:space="preserve"> (</w:t>
      </w:r>
      <w:r w:rsidR="00E03DE7">
        <w:rPr>
          <w:rFonts w:ascii="Arial" w:hAnsi="Arial" w:cs="Arial"/>
        </w:rPr>
        <w:t xml:space="preserve">vinte e </w:t>
      </w:r>
      <w:r w:rsidR="003B045D">
        <w:rPr>
          <w:rFonts w:ascii="Arial" w:hAnsi="Arial" w:cs="Arial"/>
        </w:rPr>
        <w:t>cinco</w:t>
      </w:r>
      <w:r w:rsidRPr="00531BEE">
        <w:rPr>
          <w:rFonts w:ascii="Arial" w:hAnsi="Arial" w:cs="Arial"/>
        </w:rPr>
        <w:t xml:space="preserve">) do mês de </w:t>
      </w:r>
      <w:r w:rsidR="00E03DE7">
        <w:rPr>
          <w:rFonts w:ascii="Arial" w:hAnsi="Arial" w:cs="Arial"/>
        </w:rPr>
        <w:t>janei</w:t>
      </w:r>
      <w:r w:rsidR="00C22E38">
        <w:rPr>
          <w:rFonts w:ascii="Arial" w:hAnsi="Arial" w:cs="Arial"/>
        </w:rPr>
        <w:t>ro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3B045D">
        <w:rPr>
          <w:rFonts w:ascii="Arial" w:hAnsi="Arial" w:cs="Arial"/>
        </w:rPr>
        <w:t xml:space="preserve">ra Chagas Júnior (Coordenador) </w:t>
      </w:r>
      <w:r w:rsidR="000363F5">
        <w:rPr>
          <w:rFonts w:ascii="Arial" w:hAnsi="Arial" w:cs="Arial"/>
        </w:rPr>
        <w:t xml:space="preserve">e </w:t>
      </w:r>
      <w:r w:rsidR="00E03DE7">
        <w:rPr>
          <w:rFonts w:ascii="Arial" w:hAnsi="Arial" w:cs="Arial"/>
        </w:rPr>
        <w:t>Ricardo Victor Rodrigues Barbosa</w:t>
      </w:r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E03DE7">
        <w:rPr>
          <w:rFonts w:ascii="Arial" w:hAnsi="Arial" w:cs="Arial"/>
        </w:rPr>
        <w:t>Leitura e Validação da ATA da 8ª Reunião Ordinária da Comissão de Ensino e Formação – CEF, Exercício 2015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E03DE7">
        <w:rPr>
          <w:rFonts w:ascii="Arial" w:hAnsi="Arial" w:cs="Arial"/>
        </w:rPr>
        <w:t>Informe: I Seminário de Integração do CAU</w:t>
      </w:r>
      <w:r w:rsidR="003B045D">
        <w:rPr>
          <w:rFonts w:ascii="Arial" w:hAnsi="Arial" w:cs="Arial"/>
        </w:rPr>
        <w:t xml:space="preserve">; </w:t>
      </w:r>
      <w:proofErr w:type="gramStart"/>
      <w:r w:rsidR="00E03DE7">
        <w:rPr>
          <w:rFonts w:ascii="Arial" w:hAnsi="Arial" w:cs="Arial"/>
          <w:b/>
        </w:rPr>
        <w:t xml:space="preserve">3 – </w:t>
      </w:r>
      <w:r w:rsidR="00E03DE7">
        <w:rPr>
          <w:rFonts w:ascii="Arial" w:hAnsi="Arial" w:cs="Arial"/>
        </w:rPr>
        <w:t>Aprovação</w:t>
      </w:r>
      <w:proofErr w:type="gramEnd"/>
      <w:r w:rsidR="00E03DE7">
        <w:rPr>
          <w:rFonts w:ascii="Arial" w:hAnsi="Arial" w:cs="Arial"/>
        </w:rPr>
        <w:t xml:space="preserve"> de cursos referente ao convênio com o Instituto Brasileiro de Educação Continuada – INBEC; </w:t>
      </w:r>
      <w:r w:rsidR="00E03DE7">
        <w:rPr>
          <w:rFonts w:ascii="Arial" w:hAnsi="Arial" w:cs="Arial"/>
          <w:b/>
        </w:rPr>
        <w:t xml:space="preserve">4 – </w:t>
      </w:r>
      <w:r w:rsidR="00E03DE7">
        <w:rPr>
          <w:rFonts w:ascii="Arial" w:hAnsi="Arial" w:cs="Arial"/>
        </w:rPr>
        <w:t xml:space="preserve">Definição de comunicação para as Instituições de Ensino Superior de Arquitetura e Urbanismo acerca do Prêmio Zélia Maia Nobre </w:t>
      </w:r>
      <w:r w:rsidR="00C22E38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725ADC">
        <w:rPr>
          <w:rFonts w:ascii="Arial" w:hAnsi="Arial" w:cs="Arial"/>
          <w:bCs/>
        </w:rPr>
        <w:t xml:space="preserve"> quórum, iniciou a reunião às 15</w:t>
      </w:r>
      <w:r w:rsidR="00A65A07">
        <w:rPr>
          <w:rFonts w:ascii="Arial" w:hAnsi="Arial" w:cs="Arial"/>
          <w:bCs/>
        </w:rPr>
        <w:t>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E03DE7" w:rsidRPr="00E03DE7">
        <w:rPr>
          <w:rFonts w:ascii="Arial" w:hAnsi="Arial" w:cs="Arial"/>
          <w:b/>
        </w:rPr>
        <w:t>Leitura e Validação da ATA da 8ª Reunião Ordinária da Comissão de Ensino e Formação – CEF, Exercício 2015;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88273F">
        <w:rPr>
          <w:rFonts w:ascii="Arial" w:hAnsi="Arial" w:cs="Arial"/>
        </w:rPr>
        <w:t>da ATA da 8ª Reunião Ordinária da Comissão de Ensino e Formação – CEF, Exercício 2015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 xml:space="preserve">a ATA foi validada sendo assinada por todos. </w:t>
      </w:r>
      <w:r w:rsidR="00E03DE7" w:rsidRPr="00E03DE7">
        <w:rPr>
          <w:rFonts w:ascii="Arial" w:hAnsi="Arial" w:cs="Arial"/>
          <w:b/>
        </w:rPr>
        <w:t xml:space="preserve">2 – Informe: I Seminário de Integração do CAU; </w:t>
      </w:r>
      <w:r w:rsidR="00364E45">
        <w:rPr>
          <w:rFonts w:ascii="Arial" w:hAnsi="Arial" w:cs="Arial"/>
        </w:rPr>
        <w:t>O Conselheiro Ricardo Victor foi o representante da Comissão de Ensino e Formação no evento e relatou que</w:t>
      </w:r>
      <w:r w:rsidR="00364E45">
        <w:rPr>
          <w:rFonts w:ascii="Arial" w:hAnsi="Arial" w:cs="Arial"/>
          <w:b/>
        </w:rPr>
        <w:t xml:space="preserve"> </w:t>
      </w:r>
      <w:r w:rsidR="00D45E81" w:rsidRPr="00F94E71">
        <w:rPr>
          <w:rFonts w:ascii="Arial" w:hAnsi="Arial" w:cs="Arial"/>
        </w:rPr>
        <w:t>entre os pontos discutidos, um dos mais relevantes foi sobre possíveis ofertas de cursos de graduação em Arquitetura e Urbanismo na modalidade de ensino a distância (</w:t>
      </w:r>
      <w:proofErr w:type="spellStart"/>
      <w:proofErr w:type="gramStart"/>
      <w:r w:rsidR="00D45E81" w:rsidRPr="00F94E71">
        <w:rPr>
          <w:rFonts w:ascii="Arial" w:hAnsi="Arial" w:cs="Arial"/>
        </w:rPr>
        <w:t>EaD</w:t>
      </w:r>
      <w:proofErr w:type="spellEnd"/>
      <w:proofErr w:type="gramEnd"/>
      <w:r w:rsidR="00D45E81" w:rsidRPr="00F94E71">
        <w:rPr>
          <w:rFonts w:ascii="Arial" w:hAnsi="Arial" w:cs="Arial"/>
        </w:rPr>
        <w:t xml:space="preserve">). Sobre essa questão, o arquiteto e urbanista </w:t>
      </w:r>
      <w:r w:rsidR="00B44A43" w:rsidRPr="00F94E71">
        <w:rPr>
          <w:rFonts w:ascii="Arial" w:hAnsi="Arial" w:cs="Arial"/>
        </w:rPr>
        <w:t xml:space="preserve">Roberto </w:t>
      </w:r>
      <w:proofErr w:type="spellStart"/>
      <w:r w:rsidR="00B44A43" w:rsidRPr="00F94E71">
        <w:rPr>
          <w:rFonts w:ascii="Arial" w:hAnsi="Arial" w:cs="Arial"/>
        </w:rPr>
        <w:t>Geraldine</w:t>
      </w:r>
      <w:proofErr w:type="spellEnd"/>
      <w:r w:rsidR="00B44A43" w:rsidRPr="00F94E71">
        <w:rPr>
          <w:rFonts w:ascii="Arial" w:hAnsi="Arial" w:cs="Arial"/>
        </w:rPr>
        <w:t xml:space="preserve"> Junior, representante das IES CAU/BR, </w:t>
      </w:r>
      <w:r w:rsidR="00D45E81" w:rsidRPr="00F94E71">
        <w:rPr>
          <w:rFonts w:ascii="Arial" w:hAnsi="Arial" w:cs="Arial"/>
        </w:rPr>
        <w:t xml:space="preserve">explanou </w:t>
      </w:r>
      <w:r w:rsidR="00B44A43" w:rsidRPr="00F94E71">
        <w:rPr>
          <w:rFonts w:ascii="Arial" w:hAnsi="Arial" w:cs="Arial"/>
        </w:rPr>
        <w:t>sobre a impossibilidade de implantação d</w:t>
      </w:r>
      <w:r w:rsidR="00D45E81" w:rsidRPr="00F94E71">
        <w:rPr>
          <w:rFonts w:ascii="Arial" w:hAnsi="Arial" w:cs="Arial"/>
        </w:rPr>
        <w:t>esses</w:t>
      </w:r>
      <w:r w:rsidR="00B44A43" w:rsidRPr="00F94E71">
        <w:rPr>
          <w:rFonts w:ascii="Arial" w:hAnsi="Arial" w:cs="Arial"/>
        </w:rPr>
        <w:t xml:space="preserve"> cursos </w:t>
      </w:r>
      <w:r w:rsidR="00D45E81" w:rsidRPr="00F94E71">
        <w:rPr>
          <w:rFonts w:ascii="Arial" w:hAnsi="Arial" w:cs="Arial"/>
        </w:rPr>
        <w:t xml:space="preserve">por </w:t>
      </w:r>
      <w:proofErr w:type="gramStart"/>
      <w:r w:rsidR="00D45E81" w:rsidRPr="00F94E71">
        <w:rPr>
          <w:rFonts w:ascii="Arial" w:hAnsi="Arial" w:cs="Arial"/>
        </w:rPr>
        <w:t>não</w:t>
      </w:r>
      <w:proofErr w:type="gramEnd"/>
      <w:r w:rsidR="00D45E81" w:rsidRPr="00F94E71">
        <w:rPr>
          <w:rFonts w:ascii="Arial" w:hAnsi="Arial" w:cs="Arial"/>
        </w:rPr>
        <w:t xml:space="preserve"> </w:t>
      </w:r>
      <w:proofErr w:type="gramStart"/>
      <w:r w:rsidR="00D45E81" w:rsidRPr="00F94E71">
        <w:rPr>
          <w:rFonts w:ascii="Arial" w:hAnsi="Arial" w:cs="Arial"/>
        </w:rPr>
        <w:t>atender</w:t>
      </w:r>
      <w:proofErr w:type="gramEnd"/>
      <w:r w:rsidR="00D45E81" w:rsidRPr="00F94E71">
        <w:rPr>
          <w:rFonts w:ascii="Arial" w:hAnsi="Arial" w:cs="Arial"/>
        </w:rPr>
        <w:t xml:space="preserve"> a legislação vigente sobre </w:t>
      </w:r>
      <w:proofErr w:type="spellStart"/>
      <w:r w:rsidR="00D45E81" w:rsidRPr="00F94E71">
        <w:rPr>
          <w:rFonts w:ascii="Arial" w:hAnsi="Arial" w:cs="Arial"/>
        </w:rPr>
        <w:t>EaD</w:t>
      </w:r>
      <w:proofErr w:type="spellEnd"/>
      <w:r w:rsidR="00D45E81" w:rsidRPr="00F94E71">
        <w:rPr>
          <w:rFonts w:ascii="Arial" w:hAnsi="Arial" w:cs="Arial"/>
        </w:rPr>
        <w:t>, haja vista a quantidade de carga horária prática nos cursos de Arquitetura e Urbanismo. Entretanto</w:t>
      </w:r>
      <w:r w:rsidR="00B44A43" w:rsidRPr="00F94E71">
        <w:rPr>
          <w:rFonts w:ascii="Arial" w:hAnsi="Arial" w:cs="Arial"/>
        </w:rPr>
        <w:t xml:space="preserve">, </w:t>
      </w:r>
      <w:r w:rsidR="00D45E81" w:rsidRPr="00F94E71">
        <w:rPr>
          <w:rFonts w:ascii="Arial" w:hAnsi="Arial" w:cs="Arial"/>
        </w:rPr>
        <w:t>a Comissão de Ensino e Formação do CAU/BR tem conhecimento de um curso nessa modalidade que está sendo ofertado por uma IES na</w:t>
      </w:r>
      <w:r w:rsidR="00B44A43" w:rsidRPr="00F94E71">
        <w:rPr>
          <w:rFonts w:ascii="Arial" w:hAnsi="Arial" w:cs="Arial"/>
        </w:rPr>
        <w:t xml:space="preserve"> cidade de Três Corações, em Minas Gerais, </w:t>
      </w:r>
      <w:r w:rsidR="00842A83" w:rsidRPr="00F94E71">
        <w:rPr>
          <w:rFonts w:ascii="Arial" w:hAnsi="Arial" w:cs="Arial"/>
        </w:rPr>
        <w:t>porém esse caso já</w:t>
      </w:r>
      <w:r w:rsidR="00B44A43" w:rsidRPr="00F94E71">
        <w:rPr>
          <w:rFonts w:ascii="Arial" w:hAnsi="Arial" w:cs="Arial"/>
        </w:rPr>
        <w:t xml:space="preserve"> está sendo investigado pela Comissão de Ensino e Formação do CAU/BR. Outro ponto </w:t>
      </w:r>
      <w:r w:rsidR="00842A83" w:rsidRPr="00F94E71">
        <w:rPr>
          <w:rFonts w:ascii="Arial" w:hAnsi="Arial" w:cs="Arial"/>
        </w:rPr>
        <w:t xml:space="preserve">explanado foi o desenvolvimento </w:t>
      </w:r>
      <w:r w:rsidR="00D45E81" w:rsidRPr="00F94E71">
        <w:rPr>
          <w:rFonts w:ascii="Arial" w:hAnsi="Arial" w:cs="Arial"/>
        </w:rPr>
        <w:t>de vídeo-aulas sob a coordenação da Comissão</w:t>
      </w:r>
      <w:r w:rsidR="00842A83" w:rsidRPr="00F94E71">
        <w:rPr>
          <w:rFonts w:ascii="Arial" w:hAnsi="Arial" w:cs="Arial"/>
        </w:rPr>
        <w:t xml:space="preserve"> de Ensino e Formação do CAU/SP</w:t>
      </w:r>
      <w:r w:rsidR="00D45E81" w:rsidRPr="00F94E71">
        <w:rPr>
          <w:rFonts w:ascii="Arial" w:hAnsi="Arial" w:cs="Arial"/>
        </w:rPr>
        <w:t xml:space="preserve"> com temáticas voltadas aos estudantes de graduação</w:t>
      </w:r>
      <w:r w:rsidR="00842A83" w:rsidRPr="00F94E71">
        <w:rPr>
          <w:rFonts w:ascii="Arial" w:hAnsi="Arial" w:cs="Arial"/>
        </w:rPr>
        <w:t>, a serem disponibilizadas, em breve, para todo o Brasil</w:t>
      </w:r>
      <w:r w:rsidR="00D45E81" w:rsidRPr="00F94E71">
        <w:rPr>
          <w:rFonts w:ascii="Arial" w:hAnsi="Arial" w:cs="Arial"/>
        </w:rPr>
        <w:t xml:space="preserve">. Por fim, foi apresentado </w:t>
      </w:r>
      <w:r w:rsidR="00842A83" w:rsidRPr="00F94E71">
        <w:rPr>
          <w:rFonts w:ascii="Arial" w:hAnsi="Arial" w:cs="Arial"/>
        </w:rPr>
        <w:t xml:space="preserve">o </w:t>
      </w:r>
      <w:r w:rsidR="00D45E81" w:rsidRPr="00F94E71">
        <w:rPr>
          <w:rFonts w:ascii="Arial" w:hAnsi="Arial" w:cs="Arial"/>
        </w:rPr>
        <w:t>Curso de Capacitação em Ética e Disciplina, na modalidade de ensino a distância (</w:t>
      </w:r>
      <w:proofErr w:type="spellStart"/>
      <w:proofErr w:type="gramStart"/>
      <w:r w:rsidR="00D45E81" w:rsidRPr="00F94E71">
        <w:rPr>
          <w:rFonts w:ascii="Arial" w:hAnsi="Arial" w:cs="Arial"/>
        </w:rPr>
        <w:t>EaD</w:t>
      </w:r>
      <w:proofErr w:type="spellEnd"/>
      <w:proofErr w:type="gramEnd"/>
      <w:r w:rsidR="00D45E81" w:rsidRPr="00F94E71">
        <w:rPr>
          <w:rFonts w:ascii="Arial" w:hAnsi="Arial" w:cs="Arial"/>
        </w:rPr>
        <w:t>) a ser direcionado aos membros das Comissões de Ensino e Formação, professores</w:t>
      </w:r>
      <w:r w:rsidR="00842A83" w:rsidRPr="00F94E71">
        <w:rPr>
          <w:rFonts w:ascii="Arial" w:hAnsi="Arial" w:cs="Arial"/>
        </w:rPr>
        <w:t xml:space="preserve"> universitários</w:t>
      </w:r>
      <w:r w:rsidR="00D45E81" w:rsidRPr="00F94E71">
        <w:rPr>
          <w:rFonts w:ascii="Arial" w:hAnsi="Arial" w:cs="Arial"/>
        </w:rPr>
        <w:t xml:space="preserve"> e coordenadores</w:t>
      </w:r>
      <w:r w:rsidR="00842A83" w:rsidRPr="00F94E71">
        <w:rPr>
          <w:rFonts w:ascii="Arial" w:hAnsi="Arial" w:cs="Arial"/>
        </w:rPr>
        <w:t xml:space="preserve"> de cursos, a ser implantado, até outubro</w:t>
      </w:r>
      <w:r w:rsidR="00D45E81" w:rsidRPr="00F94E71">
        <w:rPr>
          <w:rFonts w:ascii="Arial" w:hAnsi="Arial" w:cs="Arial"/>
        </w:rPr>
        <w:t xml:space="preserve">, sob a coordenação da </w:t>
      </w:r>
      <w:r w:rsidR="00B44A43" w:rsidRPr="00F94E71">
        <w:rPr>
          <w:rFonts w:ascii="Arial" w:hAnsi="Arial" w:cs="Arial"/>
        </w:rPr>
        <w:t>Comissão de Ensino e Formaç</w:t>
      </w:r>
      <w:r w:rsidR="00D45E81" w:rsidRPr="00F94E71">
        <w:rPr>
          <w:rFonts w:ascii="Arial" w:hAnsi="Arial" w:cs="Arial"/>
        </w:rPr>
        <w:t>ão do CAU/SP.</w:t>
      </w:r>
      <w:r w:rsidR="00F94E71" w:rsidRPr="00F94E71">
        <w:rPr>
          <w:rFonts w:ascii="Arial" w:hAnsi="Arial" w:cs="Arial"/>
          <w:b/>
        </w:rPr>
        <w:t xml:space="preserve"> </w:t>
      </w:r>
      <w:proofErr w:type="gramStart"/>
      <w:r w:rsidR="00E03DE7" w:rsidRPr="00F94E71">
        <w:rPr>
          <w:rFonts w:ascii="Arial" w:hAnsi="Arial" w:cs="Arial"/>
          <w:b/>
        </w:rPr>
        <w:t>3</w:t>
      </w:r>
      <w:r w:rsidR="00E03DE7" w:rsidRPr="00E03DE7">
        <w:rPr>
          <w:rFonts w:ascii="Arial" w:hAnsi="Arial" w:cs="Arial"/>
          <w:b/>
        </w:rPr>
        <w:t xml:space="preserve"> – Aprovação</w:t>
      </w:r>
      <w:proofErr w:type="gramEnd"/>
      <w:r w:rsidR="00E03DE7" w:rsidRPr="00E03DE7">
        <w:rPr>
          <w:rFonts w:ascii="Arial" w:hAnsi="Arial" w:cs="Arial"/>
          <w:b/>
        </w:rPr>
        <w:t xml:space="preserve"> de cursos referente ao convênio com o Instituto Brasileiro de Educação Continuada – INBEC; </w:t>
      </w:r>
      <w:r w:rsidR="00E12CDC">
        <w:rPr>
          <w:rFonts w:ascii="Arial" w:hAnsi="Arial" w:cs="Arial"/>
          <w:b/>
        </w:rPr>
        <w:t>A Comissão delibera:</w:t>
      </w:r>
      <w:r w:rsidR="007E13AA">
        <w:rPr>
          <w:rFonts w:ascii="Arial" w:hAnsi="Arial" w:cs="Arial"/>
          <w:b/>
        </w:rPr>
        <w:t xml:space="preserve"> </w:t>
      </w:r>
      <w:r w:rsidR="007E13AA" w:rsidRPr="006E4F88">
        <w:rPr>
          <w:rFonts w:ascii="Arial" w:hAnsi="Arial" w:cs="Arial"/>
        </w:rPr>
        <w:t>A</w:t>
      </w:r>
      <w:bookmarkStart w:id="0" w:name="_GoBack"/>
      <w:bookmarkEnd w:id="0"/>
      <w:r w:rsidR="007E13AA" w:rsidRPr="006E4F88">
        <w:rPr>
          <w:rFonts w:ascii="Arial" w:hAnsi="Arial" w:cs="Arial"/>
        </w:rPr>
        <w:t>provar</w:t>
      </w:r>
      <w:r w:rsidR="007E13AA">
        <w:rPr>
          <w:rFonts w:ascii="Arial" w:hAnsi="Arial" w:cs="Arial"/>
        </w:rPr>
        <w:t xml:space="preserve"> o apoio ao curso de pós-graduação MBA em plataforma BIM, assim como aos cursos de extensão Laudo Pericial de Engenharia, Gerenciamento de Projetos para Engenheiros e Arquitetos, e Medição, Fiscalização e Controle de Obras de Engenharia e Infraestrutura; e comunicar o </w:t>
      </w:r>
      <w:r w:rsidR="007E13AA" w:rsidRPr="00DF5D52">
        <w:rPr>
          <w:rFonts w:ascii="Arial" w:hAnsi="Arial" w:cs="Arial"/>
        </w:rPr>
        <w:t xml:space="preserve">Instituto Brasileiro de Educação Continuada </w:t>
      </w:r>
      <w:r w:rsidR="007E13AA">
        <w:rPr>
          <w:rFonts w:ascii="Arial" w:hAnsi="Arial" w:cs="Arial"/>
        </w:rPr>
        <w:t>–</w:t>
      </w:r>
      <w:r w:rsidR="007E13AA" w:rsidRPr="00DF5D52">
        <w:rPr>
          <w:rFonts w:ascii="Arial" w:hAnsi="Arial" w:cs="Arial"/>
        </w:rPr>
        <w:t xml:space="preserve"> INBEC</w:t>
      </w:r>
      <w:r w:rsidR="007E13AA">
        <w:rPr>
          <w:rFonts w:ascii="Arial" w:hAnsi="Arial" w:cs="Arial"/>
        </w:rPr>
        <w:t xml:space="preserve"> desta deliberação.</w:t>
      </w:r>
      <w:r w:rsidR="0088273F">
        <w:rPr>
          <w:rFonts w:ascii="Arial" w:hAnsi="Arial" w:cs="Arial"/>
          <w:b/>
        </w:rPr>
        <w:t xml:space="preserve"> </w:t>
      </w:r>
      <w:r w:rsidR="00E03DE7" w:rsidRPr="00E03DE7">
        <w:rPr>
          <w:rFonts w:ascii="Arial" w:hAnsi="Arial" w:cs="Arial"/>
          <w:b/>
        </w:rPr>
        <w:t>4 – Definição de comunicação para as Instituições de Ensino Superior de Arquitetura e Urbanismo ace</w:t>
      </w:r>
      <w:r w:rsidR="00E12CDC">
        <w:rPr>
          <w:rFonts w:ascii="Arial" w:hAnsi="Arial" w:cs="Arial"/>
          <w:b/>
        </w:rPr>
        <w:t>rca do Prêmio Zélia Maia Nobre; A Comissão delibera:</w:t>
      </w:r>
      <w:r w:rsidR="0009234D" w:rsidRPr="0009234D">
        <w:rPr>
          <w:rFonts w:ascii="Arial" w:hAnsi="Arial" w:cs="Arial"/>
        </w:rPr>
        <w:t xml:space="preserve"> </w:t>
      </w:r>
      <w:r w:rsidR="0009234D">
        <w:rPr>
          <w:rFonts w:ascii="Arial" w:hAnsi="Arial" w:cs="Arial"/>
        </w:rPr>
        <w:t xml:space="preserve">Encaminhar correspondência as IES que possuem formandos acerca das considerações feitas pela Comissão Julgadora do </w:t>
      </w:r>
      <w:r w:rsidR="0009234D" w:rsidRPr="007C381A">
        <w:rPr>
          <w:rFonts w:ascii="Arial" w:hAnsi="Arial" w:cs="Arial"/>
        </w:rPr>
        <w:t>Prêmio Zélia Maia Nobre</w:t>
      </w:r>
      <w:r w:rsidR="0009234D">
        <w:rPr>
          <w:rFonts w:ascii="Arial" w:hAnsi="Arial" w:cs="Arial"/>
        </w:rPr>
        <w:t xml:space="preserve"> em relação aos trabalhos inscritos.</w:t>
      </w:r>
      <w:r w:rsidR="00364E45">
        <w:rPr>
          <w:rFonts w:ascii="Arial" w:hAnsi="Arial" w:cs="Arial"/>
          <w:b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 xml:space="preserve">agradeceu a presença de todos e </w:t>
      </w:r>
      <w:r w:rsidR="00F67E14" w:rsidRPr="00822AD8">
        <w:rPr>
          <w:rFonts w:ascii="Arial" w:hAnsi="Arial" w:cs="Arial"/>
          <w:bCs/>
        </w:rPr>
        <w:lastRenderedPageBreak/>
        <w:t>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637D00">
        <w:rPr>
          <w:rFonts w:ascii="Arial" w:hAnsi="Arial" w:cs="Arial"/>
          <w:bCs/>
        </w:rPr>
        <w:t xml:space="preserve"> horas e 5</w:t>
      </w:r>
      <w:r w:rsidR="00B20A2B">
        <w:rPr>
          <w:rFonts w:ascii="Arial" w:hAnsi="Arial" w:cs="Arial"/>
          <w:bCs/>
        </w:rPr>
        <w:t>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F46113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</w:p>
    <w:p w14:paraId="4E59189B" w14:textId="1A1D87C3" w:rsidR="00F67E14" w:rsidRPr="00822AD8" w:rsidRDefault="00E03DE7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Ricardo Victor Rodrigues Barbosa </w:t>
      </w:r>
      <w:r w:rsidR="000363F5">
        <w:rPr>
          <w:rFonts w:ascii="Arial" w:hAnsi="Arial" w:cs="Arial"/>
        </w:rPr>
        <w:t>__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="006D420E">
        <w:rPr>
          <w:rFonts w:ascii="Arial" w:hAnsi="Arial" w:cs="Arial"/>
        </w:rPr>
        <w:t>___________________</w:t>
      </w:r>
      <w:r w:rsidR="00F67E14" w:rsidRPr="00822AD8">
        <w:rPr>
          <w:rFonts w:ascii="Arial" w:hAnsi="Arial" w:cs="Arial"/>
        </w:rPr>
        <w:t>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D45E81" w:rsidRDefault="00D45E81" w:rsidP="009B2FF3">
      <w:r>
        <w:separator/>
      </w:r>
    </w:p>
  </w:endnote>
  <w:endnote w:type="continuationSeparator" w:id="0">
    <w:p w14:paraId="6C0F0DDB" w14:textId="77777777" w:rsidR="00D45E81" w:rsidRDefault="00D45E81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D45E81" w:rsidRDefault="00D45E81" w:rsidP="009B2FF3">
      <w:r>
        <w:separator/>
      </w:r>
    </w:p>
  </w:footnote>
  <w:footnote w:type="continuationSeparator" w:id="0">
    <w:p w14:paraId="6F7A6685" w14:textId="77777777" w:rsidR="00D45E81" w:rsidRDefault="00D45E81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45E81" w:rsidRPr="00850D37" w:rsidRDefault="00D45E81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45E81" w:rsidRPr="00850D37" w:rsidRDefault="00D45E81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45E81" w:rsidRPr="00850D37" w:rsidRDefault="00D45E81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45E81" w:rsidRDefault="00D45E81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45E81" w:rsidRPr="004D4553" w:rsidRDefault="00D45E81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1539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F9"/>
    <w:rsid w:val="00833A08"/>
    <w:rsid w:val="00842A83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44A43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45E81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94E71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F23C-4F4E-4B05-9B64-749218F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cau02</cp:lastModifiedBy>
  <cp:revision>75</cp:revision>
  <cp:lastPrinted>2015-03-25T18:35:00Z</cp:lastPrinted>
  <dcterms:created xsi:type="dcterms:W3CDTF">2015-02-06T16:32:00Z</dcterms:created>
  <dcterms:modified xsi:type="dcterms:W3CDTF">2016-02-15T19:16:00Z</dcterms:modified>
</cp:coreProperties>
</file>